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1658">
      <w:pPr>
        <w:spacing w:line="600" w:lineRule="auto"/>
        <w:jc w:val="center"/>
        <w:rPr>
          <w:rFonts w:hint="eastAsia" w:ascii="宋体" w:hAnsi="宋体" w:eastAsia="宋体" w:cs="宋体"/>
          <w:b/>
          <w:color w:val="auto"/>
          <w:sz w:val="84"/>
          <w:szCs w:val="84"/>
          <w:highlight w:val="none"/>
          <w:lang w:val="en-US" w:eastAsia="zh-CN"/>
        </w:rPr>
      </w:pPr>
      <w:r>
        <w:rPr>
          <w:rFonts w:hint="eastAsia" w:ascii="宋体" w:hAnsi="宋体" w:eastAsia="宋体" w:cs="宋体"/>
          <w:b/>
          <w:color w:val="auto"/>
          <w:sz w:val="84"/>
          <w:szCs w:val="84"/>
          <w:highlight w:val="none"/>
          <w:lang w:val="en-US" w:eastAsia="zh-CN"/>
        </w:rPr>
        <w:t>广东省招标项目</w:t>
      </w:r>
    </w:p>
    <w:p w14:paraId="399B06E3">
      <w:pPr>
        <w:pStyle w:val="6"/>
        <w:rPr>
          <w:rFonts w:hint="eastAsia" w:ascii="宋体" w:hAnsi="宋体" w:eastAsia="宋体" w:cs="宋体"/>
          <w:b/>
          <w:color w:val="auto"/>
          <w:sz w:val="84"/>
          <w:szCs w:val="84"/>
          <w:highlight w:val="none"/>
          <w:lang w:val="en-US" w:eastAsia="zh-CN"/>
        </w:rPr>
      </w:pPr>
    </w:p>
    <w:p w14:paraId="1F6DF9F1">
      <w:pPr>
        <w:spacing w:line="600" w:lineRule="auto"/>
        <w:jc w:val="center"/>
        <w:rPr>
          <w:rFonts w:hint="eastAsia" w:ascii="宋体" w:hAnsi="宋体" w:eastAsia="宋体" w:cs="宋体"/>
          <w:b/>
          <w:color w:val="auto"/>
          <w:sz w:val="72"/>
          <w:szCs w:val="72"/>
          <w:highlight w:val="none"/>
          <w:lang w:eastAsia="zh-CN"/>
        </w:rPr>
      </w:pPr>
      <w:r>
        <w:rPr>
          <w:rFonts w:hint="eastAsia" w:ascii="宋体" w:hAnsi="宋体" w:eastAsia="宋体" w:cs="宋体"/>
          <w:b/>
          <w:color w:val="auto"/>
          <w:sz w:val="72"/>
          <w:szCs w:val="72"/>
          <w:highlight w:val="none"/>
          <w:lang w:eastAsia="zh-CN"/>
        </w:rPr>
        <w:t>《</w:t>
      </w:r>
      <w:r>
        <w:rPr>
          <w:rFonts w:hint="eastAsia" w:ascii="宋体" w:hAnsi="宋体" w:eastAsia="宋体" w:cs="宋体"/>
          <w:b/>
          <w:color w:val="auto"/>
          <w:sz w:val="72"/>
          <w:szCs w:val="72"/>
          <w:highlight w:val="none"/>
        </w:rPr>
        <w:t>采购需求征求意见稿</w:t>
      </w:r>
      <w:r>
        <w:rPr>
          <w:rFonts w:hint="eastAsia" w:ascii="宋体" w:hAnsi="宋体" w:eastAsia="宋体" w:cs="宋体"/>
          <w:b/>
          <w:color w:val="auto"/>
          <w:sz w:val="72"/>
          <w:szCs w:val="72"/>
          <w:highlight w:val="none"/>
          <w:lang w:eastAsia="zh-CN"/>
        </w:rPr>
        <w:t>》</w:t>
      </w:r>
    </w:p>
    <w:p w14:paraId="7EFF4226">
      <w:pPr>
        <w:spacing w:line="600" w:lineRule="auto"/>
        <w:jc w:val="center"/>
        <w:rPr>
          <w:rFonts w:hint="eastAsia" w:ascii="宋体" w:hAnsi="宋体" w:eastAsia="宋体" w:cs="宋体"/>
          <w:b/>
          <w:color w:val="auto"/>
          <w:sz w:val="28"/>
          <w:szCs w:val="28"/>
          <w:highlight w:val="none"/>
        </w:rPr>
      </w:pPr>
    </w:p>
    <w:p w14:paraId="2B95C798">
      <w:pPr>
        <w:spacing w:line="360" w:lineRule="auto"/>
        <w:rPr>
          <w:rFonts w:hint="eastAsia" w:ascii="宋体" w:hAnsi="宋体" w:eastAsia="宋体" w:cs="宋体"/>
          <w:color w:val="auto"/>
          <w:sz w:val="28"/>
          <w:szCs w:val="28"/>
          <w:highlight w:val="none"/>
        </w:rPr>
      </w:pPr>
    </w:p>
    <w:p w14:paraId="39A1C7A8">
      <w:pPr>
        <w:spacing w:line="360" w:lineRule="auto"/>
        <w:rPr>
          <w:rFonts w:hint="eastAsia" w:ascii="宋体" w:hAnsi="宋体" w:eastAsia="宋体" w:cs="宋体"/>
          <w:color w:val="auto"/>
          <w:sz w:val="28"/>
          <w:szCs w:val="28"/>
          <w:highlight w:val="none"/>
        </w:rPr>
      </w:pPr>
    </w:p>
    <w:p w14:paraId="15853AC0">
      <w:pPr>
        <w:pStyle w:val="19"/>
        <w:ind w:left="0" w:leftChars="0" w:firstLine="0" w:firstLineChars="0"/>
        <w:rPr>
          <w:rFonts w:hint="eastAsia"/>
          <w:color w:val="auto"/>
          <w:highlight w:val="none"/>
          <w:lang w:val="en-US" w:eastAsia="zh-CN"/>
        </w:rPr>
      </w:pPr>
    </w:p>
    <w:p w14:paraId="5032434A">
      <w:pPr>
        <w:pStyle w:val="19"/>
        <w:ind w:left="0" w:leftChars="0" w:firstLine="0" w:firstLineChars="0"/>
        <w:rPr>
          <w:rFonts w:hint="default" w:eastAsia="仿宋_GB2312"/>
          <w:color w:val="auto"/>
          <w:highlight w:val="none"/>
          <w:lang w:val="en-US" w:eastAsia="zh-CN"/>
        </w:rPr>
      </w:pPr>
      <w:r>
        <w:rPr>
          <w:rFonts w:hint="eastAsia"/>
          <w:color w:val="auto"/>
          <w:highlight w:val="none"/>
          <w:lang w:val="en-US" w:eastAsia="zh-CN"/>
        </w:rPr>
        <w:t>项目名称：广东天禾现代物流设施设备更新项目（立体式货架包括四向托盘穿梭车、垂直升降机，输送带及控制系统等）</w:t>
      </w:r>
      <w:r>
        <w:rPr>
          <w:rFonts w:hint="eastAsia"/>
          <w:color w:val="auto"/>
          <w:highlight w:val="none"/>
          <w:lang w:val="en-US" w:eastAsia="zh-CN"/>
        </w:rPr>
        <w:br w:type="textWrapping"/>
      </w:r>
      <w:r>
        <w:rPr>
          <w:rFonts w:hint="eastAsia"/>
          <w:color w:val="auto"/>
          <w:highlight w:val="none"/>
          <w:lang w:val="en-US" w:eastAsia="zh-CN"/>
        </w:rPr>
        <w:t>招标单位：广东天禾农资股份有限公司</w:t>
      </w:r>
      <w:r>
        <w:rPr>
          <w:rFonts w:hint="eastAsia" w:ascii="宋体" w:hAnsi="宋体" w:cs="宋体"/>
          <w:color w:val="auto"/>
          <w:szCs w:val="21"/>
          <w:highlight w:val="none"/>
          <w:lang w:val="en-US" w:eastAsia="zh-CN"/>
        </w:rPr>
        <w:br w:type="textWrapping"/>
      </w:r>
      <w:r>
        <w:rPr>
          <w:rFonts w:hint="eastAsia" w:ascii="宋体" w:hAnsi="宋体" w:cs="宋体"/>
          <w:color w:val="auto"/>
          <w:szCs w:val="21"/>
          <w:highlight w:val="none"/>
          <w:lang w:val="en-US" w:eastAsia="zh-CN"/>
        </w:rPr>
        <w:t>征集期限：自2025年8月21日起至2025年8月27日止</w:t>
      </w:r>
      <w:r>
        <w:rPr>
          <w:rFonts w:hint="eastAsia" w:ascii="宋体" w:hAnsi="宋体" w:cs="宋体"/>
          <w:color w:val="auto"/>
          <w:szCs w:val="21"/>
          <w:highlight w:val="none"/>
          <w:lang w:val="en-US" w:eastAsia="zh-CN"/>
        </w:rPr>
        <w:br w:type="textWrapping"/>
      </w:r>
      <w:r>
        <w:rPr>
          <w:rFonts w:hint="eastAsia" w:ascii="宋体" w:hAnsi="宋体" w:cs="宋体"/>
          <w:color w:val="auto"/>
          <w:szCs w:val="21"/>
          <w:highlight w:val="none"/>
          <w:lang w:val="en-US" w:eastAsia="zh-CN"/>
        </w:rPr>
        <w:t>发布日期：2025年8月20日</w:t>
      </w:r>
    </w:p>
    <w:p w14:paraId="780D63DB">
      <w:pPr>
        <w:spacing w:line="360" w:lineRule="auto"/>
        <w:jc w:val="center"/>
        <w:rPr>
          <w:rFonts w:hint="eastAsia" w:ascii="宋体" w:hAnsi="宋体" w:cs="宋体"/>
          <w:b/>
          <w:color w:val="auto"/>
          <w:spacing w:val="40"/>
          <w:kern w:val="2"/>
          <w:sz w:val="36"/>
          <w:szCs w:val="36"/>
          <w:highlight w:val="none"/>
        </w:rPr>
        <w:sectPr>
          <w:pgSz w:w="11906" w:h="16838"/>
          <w:pgMar w:top="1440" w:right="1800" w:bottom="1440" w:left="1800" w:header="851" w:footer="992" w:gutter="0"/>
          <w:cols w:space="425" w:num="1"/>
          <w:docGrid w:type="lines" w:linePitch="312" w:charSpace="0"/>
        </w:sectPr>
      </w:pPr>
    </w:p>
    <w:p w14:paraId="7B509404">
      <w:pPr>
        <w:pStyle w:val="20"/>
        <w:adjustRightInd w:val="0"/>
        <w:snapToGrid w:val="0"/>
        <w:spacing w:line="360" w:lineRule="auto"/>
        <w:ind w:firstLine="0" w:firstLineChars="0"/>
        <w:jc w:val="center"/>
        <w:rPr>
          <w:rFonts w:hint="eastAsia" w:ascii="宋体" w:hAnsi="宋体" w:cs="宋体"/>
          <w:b/>
          <w:color w:val="auto"/>
          <w:sz w:val="36"/>
          <w:szCs w:val="36"/>
          <w:highlight w:val="none"/>
        </w:rPr>
      </w:pPr>
      <w:r>
        <w:rPr>
          <w:rFonts w:hint="eastAsia" w:ascii="宋体" w:hAnsi="宋体" w:cs="宋体"/>
          <w:b/>
          <w:color w:val="auto"/>
          <w:spacing w:val="40"/>
          <w:kern w:val="2"/>
          <w:sz w:val="36"/>
          <w:szCs w:val="36"/>
          <w:highlight w:val="none"/>
        </w:rPr>
        <w:t xml:space="preserve"> 第</w:t>
      </w:r>
      <w:r>
        <w:rPr>
          <w:rFonts w:hint="eastAsia" w:ascii="宋体" w:hAnsi="宋体" w:cs="宋体"/>
          <w:b/>
          <w:color w:val="auto"/>
          <w:spacing w:val="40"/>
          <w:kern w:val="2"/>
          <w:sz w:val="36"/>
          <w:szCs w:val="36"/>
          <w:highlight w:val="none"/>
          <w:lang w:val="en-US" w:eastAsia="zh-CN"/>
        </w:rPr>
        <w:t>一</w:t>
      </w:r>
      <w:r>
        <w:rPr>
          <w:rFonts w:hint="eastAsia" w:ascii="宋体" w:hAnsi="宋体" w:cs="宋体"/>
          <w:b/>
          <w:color w:val="auto"/>
          <w:spacing w:val="40"/>
          <w:kern w:val="2"/>
          <w:sz w:val="36"/>
          <w:szCs w:val="36"/>
          <w:highlight w:val="none"/>
        </w:rPr>
        <w:t>部分  采购需求意见反馈书格式</w:t>
      </w:r>
    </w:p>
    <w:p w14:paraId="4A5377FE">
      <w:pPr>
        <w:snapToGrid w:val="0"/>
        <w:spacing w:line="360" w:lineRule="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说明：本部分格式为供应商、单位或者个人提交</w:t>
      </w:r>
      <w:r>
        <w:rPr>
          <w:rFonts w:hint="eastAsia" w:asciiTheme="minorEastAsia" w:hAnsiTheme="minorEastAsia" w:eastAsiaTheme="minorEastAsia" w:cstheme="minorEastAsia"/>
          <w:b/>
          <w:bCs/>
          <w:color w:val="auto"/>
          <w:sz w:val="21"/>
          <w:szCs w:val="21"/>
        </w:rPr>
        <w:t>采购需求反馈意见书</w:t>
      </w:r>
      <w:r>
        <w:rPr>
          <w:rFonts w:hint="eastAsia" w:asciiTheme="minorEastAsia" w:hAnsiTheme="minorEastAsia" w:eastAsiaTheme="minorEastAsia" w:cstheme="minorEastAsia"/>
          <w:b/>
          <w:color w:val="auto"/>
          <w:sz w:val="21"/>
          <w:szCs w:val="21"/>
        </w:rPr>
        <w:t>时使用。</w:t>
      </w:r>
    </w:p>
    <w:p w14:paraId="1B14D5EC">
      <w:pPr>
        <w:snapToGrid w:val="0"/>
        <w:spacing w:line="360" w:lineRule="auto"/>
        <w:jc w:val="center"/>
        <w:rPr>
          <w:rFonts w:hint="eastAsia" w:asciiTheme="minorEastAsia" w:hAnsiTheme="minorEastAsia" w:eastAsiaTheme="minorEastAsia" w:cstheme="minorEastAsia"/>
          <w:b/>
          <w:color w:val="auto"/>
          <w:sz w:val="21"/>
          <w:szCs w:val="21"/>
        </w:rPr>
      </w:pPr>
    </w:p>
    <w:p w14:paraId="082CB0AF">
      <w:pPr>
        <w:snapToGrid w:val="0"/>
        <w:spacing w:line="360" w:lineRule="auto"/>
        <w:jc w:val="center"/>
        <w:rPr>
          <w:rFonts w:hint="eastAsia" w:asciiTheme="minorEastAsia" w:hAnsiTheme="minorEastAsia" w:eastAsiaTheme="minorEastAsia" w:cstheme="minorEastAsia"/>
          <w:b/>
          <w:color w:val="auto"/>
          <w:sz w:val="24"/>
          <w:szCs w:val="24"/>
          <w:lang w:val="en-US" w:eastAsia="zh-CN"/>
        </w:rPr>
      </w:pPr>
      <w:r>
        <w:rPr>
          <w:rFonts w:hint="eastAsia" w:asciiTheme="minorEastAsia" w:hAnsiTheme="minorEastAsia" w:eastAsiaTheme="minorEastAsia" w:cstheme="minorEastAsia"/>
          <w:b/>
          <w:color w:val="auto"/>
          <w:sz w:val="24"/>
          <w:szCs w:val="24"/>
          <w:lang w:val="en-US" w:eastAsia="zh-CN"/>
        </w:rPr>
        <w:t>采购需求</w:t>
      </w:r>
      <w:r>
        <w:rPr>
          <w:rFonts w:hint="eastAsia" w:asciiTheme="minorEastAsia" w:hAnsiTheme="minorEastAsia" w:cstheme="minorEastAsia"/>
          <w:b/>
          <w:color w:val="auto"/>
          <w:sz w:val="24"/>
          <w:szCs w:val="24"/>
          <w:lang w:val="en-US" w:eastAsia="zh-CN"/>
        </w:rPr>
        <w:t>意见</w:t>
      </w:r>
      <w:r>
        <w:rPr>
          <w:rFonts w:hint="eastAsia" w:asciiTheme="minorEastAsia" w:hAnsiTheme="minorEastAsia" w:eastAsiaTheme="minorEastAsia" w:cstheme="minorEastAsia"/>
          <w:b/>
          <w:color w:val="auto"/>
          <w:sz w:val="24"/>
          <w:szCs w:val="24"/>
          <w:lang w:val="en-US" w:eastAsia="zh-CN"/>
        </w:rPr>
        <w:t>反馈书</w:t>
      </w:r>
    </w:p>
    <w:p w14:paraId="39660D2D">
      <w:pPr>
        <w:pStyle w:val="4"/>
        <w:numPr>
          <w:ilvl w:val="0"/>
          <w:numId w:val="0"/>
        </w:numPr>
        <w:jc w:val="both"/>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pPr>
      <w:r>
        <w:rPr>
          <w:rFonts w:hint="eastAsia" w:ascii="宋体" w:hAnsi="宋体" w:eastAsia="宋体" w:cs="宋体"/>
          <w:color w:val="auto"/>
          <w:sz w:val="21"/>
          <w:szCs w:val="21"/>
          <w:highlight w:val="none"/>
          <w:lang w:eastAsia="zh-CN"/>
        </w:rPr>
        <w:t>广东天禾农资股份有限公司</w:t>
      </w:r>
      <w:r>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t>/广东正采招标采购有限公司：</w:t>
      </w:r>
    </w:p>
    <w:p w14:paraId="734109D7">
      <w:pPr>
        <w:pStyle w:val="6"/>
        <w:spacing w:after="0"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（请补充提出异议的主体：供应商、单位或者个人）对《</w:t>
      </w:r>
      <w:r>
        <w:rPr>
          <w:rFonts w:hint="eastAsia" w:asciiTheme="minorEastAsia" w:hAnsiTheme="minorEastAsia" w:eastAsiaTheme="minorEastAsia" w:cstheme="minorEastAsia"/>
          <w:color w:val="auto"/>
          <w:sz w:val="21"/>
          <w:szCs w:val="21"/>
          <w:lang w:eastAsia="zh-CN"/>
        </w:rPr>
        <w:t>广东天禾现代物流设施设备更新项目（立体式货架包括四向托盘穿梭车、垂直升降机，输送带及控制系统等）</w:t>
      </w:r>
      <w:r>
        <w:rPr>
          <w:rFonts w:hint="eastAsia" w:asciiTheme="minorEastAsia" w:hAnsiTheme="minorEastAsia" w:eastAsiaTheme="minorEastAsia" w:cstheme="minorEastAsia"/>
          <w:color w:val="auto"/>
          <w:sz w:val="21"/>
          <w:szCs w:val="21"/>
        </w:rPr>
        <w:t>》采购需求</w:t>
      </w:r>
      <w:r>
        <w:rPr>
          <w:rFonts w:hint="eastAsia" w:asciiTheme="minorEastAsia" w:hAnsiTheme="minorEastAsia" w:eastAsiaTheme="minorEastAsia" w:cstheme="minorEastAsia"/>
          <w:color w:val="auto"/>
          <w:sz w:val="21"/>
          <w:szCs w:val="21"/>
          <w:lang w:val="en-US" w:eastAsia="zh-CN"/>
        </w:rPr>
        <w:t>征求</w:t>
      </w:r>
      <w:r>
        <w:rPr>
          <w:rFonts w:hint="eastAsia" w:asciiTheme="minorEastAsia" w:hAnsiTheme="minorEastAsia" w:eastAsiaTheme="minorEastAsia" w:cstheme="minorEastAsia"/>
          <w:color w:val="auto"/>
          <w:sz w:val="21"/>
          <w:szCs w:val="21"/>
        </w:rPr>
        <w:t>，我单位</w:t>
      </w:r>
      <w:r>
        <w:rPr>
          <w:rFonts w:hint="eastAsia" w:asciiTheme="minorEastAsia" w:hAnsiTheme="minorEastAsia" w:eastAsiaTheme="minorEastAsia" w:cstheme="minorEastAsia"/>
          <w:color w:val="auto"/>
          <w:sz w:val="21"/>
          <w:szCs w:val="21"/>
          <w:lang w:val="en-US" w:eastAsia="zh-CN"/>
        </w:rPr>
        <w:t>现有以下几个内容（或条款）提出异议或建议。</w:t>
      </w:r>
    </w:p>
    <w:p w14:paraId="2C0A6917">
      <w:pPr>
        <w:widowControl/>
        <w:tabs>
          <w:tab w:val="center" w:pos="5019"/>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一、_____________________（事项一）</w:t>
      </w:r>
      <w:r>
        <w:rPr>
          <w:rFonts w:hint="eastAsia" w:asciiTheme="minorEastAsia" w:hAnsiTheme="minorEastAsia" w:eastAsiaTheme="minorEastAsia" w:cstheme="minorEastAsia"/>
          <w:color w:val="auto"/>
          <w:sz w:val="21"/>
          <w:szCs w:val="21"/>
        </w:rPr>
        <w:tab/>
      </w:r>
    </w:p>
    <w:p w14:paraId="10526859">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（1）____________________（问题或条款内容）</w:t>
      </w:r>
    </w:p>
    <w:p w14:paraId="22AFC27D">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（2）____________________（说明提出问题或条款内容或建议原因）</w:t>
      </w:r>
    </w:p>
    <w:p w14:paraId="71F91523">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（3）____________________（提出的建议）</w:t>
      </w:r>
    </w:p>
    <w:p w14:paraId="004DF9E3">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二、_____________________（事项二）</w:t>
      </w:r>
    </w:p>
    <w:p w14:paraId="2681EF87">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p w14:paraId="6174BEA0">
      <w:pPr>
        <w:widowControl/>
        <w:tabs>
          <w:tab w:val="left" w:pos="6300"/>
        </w:tabs>
        <w:snapToGrid w:val="0"/>
        <w:spacing w:line="360" w:lineRule="auto"/>
        <w:jc w:val="left"/>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随附相关证明材料如下：（目录）。</w:t>
      </w:r>
    </w:p>
    <w:p w14:paraId="5600793B">
      <w:pPr>
        <w:widowControl/>
        <w:tabs>
          <w:tab w:val="left" w:pos="6300"/>
        </w:tabs>
        <w:snapToGrid w:val="0"/>
        <w:spacing w:line="360" w:lineRule="auto"/>
        <w:ind w:firstLine="1260" w:firstLineChars="600"/>
        <w:rPr>
          <w:rFonts w:hint="eastAsia" w:asciiTheme="minorEastAsia" w:hAnsiTheme="minorEastAsia" w:eastAsiaTheme="minorEastAsia" w:cstheme="minorEastAsia"/>
          <w:color w:val="auto"/>
          <w:sz w:val="21"/>
          <w:szCs w:val="21"/>
        </w:rPr>
      </w:pPr>
    </w:p>
    <w:p w14:paraId="08FF7A42">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供应商、单位（盖公章）或者个人（按手指印）</w:t>
      </w:r>
      <w:r>
        <w:rPr>
          <w:rFonts w:hint="eastAsia" w:asciiTheme="minorEastAsia" w:hAnsiTheme="minorEastAsia" w:eastAsiaTheme="minorEastAsia" w:cstheme="minorEastAsia"/>
          <w:color w:val="auto"/>
          <w:sz w:val="21"/>
          <w:szCs w:val="21"/>
        </w:rPr>
        <w:t>：</w:t>
      </w:r>
    </w:p>
    <w:p w14:paraId="2C8F897A">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法定代表人（授权代表/个人）：</w:t>
      </w:r>
    </w:p>
    <w:p w14:paraId="6BD9BD0E">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地址/邮编：</w:t>
      </w:r>
    </w:p>
    <w:p w14:paraId="46A1F951">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电话/传真：</w:t>
      </w:r>
    </w:p>
    <w:p w14:paraId="5EE2BD84">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电子邮箱：</w:t>
      </w:r>
      <w:r>
        <w:rPr>
          <w:rFonts w:hint="eastAsia" w:asciiTheme="minorEastAsia" w:hAnsiTheme="minorEastAsia" w:eastAsiaTheme="minorEastAsia" w:cstheme="minorEastAsia"/>
          <w:color w:val="auto"/>
          <w:sz w:val="21"/>
          <w:szCs w:val="21"/>
        </w:rPr>
        <w:t xml:space="preserve"> </w:t>
      </w:r>
    </w:p>
    <w:p w14:paraId="3DEC0483">
      <w:pPr>
        <w:wordWrap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日期：  年   月  日</w:t>
      </w:r>
    </w:p>
    <w:p w14:paraId="064EAD9B">
      <w:pPr>
        <w:spacing w:line="600" w:lineRule="exact"/>
        <w:jc w:val="center"/>
        <w:outlineLvl w:val="1"/>
        <w:rPr>
          <w:rFonts w:hint="eastAsia" w:asciiTheme="minorEastAsia" w:hAnsiTheme="minorEastAsia" w:eastAsiaTheme="minorEastAsia" w:cstheme="minorEastAsia"/>
          <w:color w:val="auto"/>
          <w:sz w:val="21"/>
          <w:szCs w:val="21"/>
        </w:rPr>
      </w:pPr>
    </w:p>
    <w:p w14:paraId="4916D61B">
      <w:pPr>
        <w:rPr>
          <w:rFonts w:hint="eastAsia" w:ascii="仿宋_GB2312" w:hAnsi="仿宋_GB2312" w:eastAsia="仿宋_GB2312" w:cs="仿宋_GB2312"/>
          <w:b/>
          <w:bCs/>
          <w:sz w:val="24"/>
          <w:szCs w:val="24"/>
          <w:lang w:val="en-US" w:eastAsia="zh-CN"/>
        </w:rPr>
      </w:pPr>
      <w:r>
        <w:rPr>
          <w:rFonts w:hint="eastAsia" w:asciiTheme="minorEastAsia" w:hAnsiTheme="minorEastAsia" w:eastAsiaTheme="minorEastAsia" w:cstheme="minorEastAsia"/>
          <w:b/>
          <w:bCs/>
          <w:color w:val="auto"/>
          <w:sz w:val="21"/>
          <w:szCs w:val="21"/>
          <w:lang w:val="en-US" w:eastAsia="zh-CN"/>
        </w:rPr>
        <w:t>提示</w:t>
      </w:r>
      <w:r>
        <w:rPr>
          <w:rFonts w:hint="eastAsia" w:asciiTheme="minorEastAsia" w:hAnsiTheme="minorEastAsia" w:eastAsiaTheme="minorEastAsia" w:cstheme="minorEastAsia"/>
          <w:b/>
          <w:bCs/>
          <w:color w:val="auto"/>
          <w:sz w:val="21"/>
          <w:szCs w:val="21"/>
        </w:rPr>
        <w:t>：</w:t>
      </w:r>
      <w:r>
        <w:rPr>
          <w:rFonts w:hint="eastAsia" w:asciiTheme="minorEastAsia" w:hAnsiTheme="minorEastAsia" w:eastAsiaTheme="minorEastAsia" w:cstheme="minorEastAsia"/>
          <w:b/>
          <w:bCs/>
          <w:color w:val="auto"/>
          <w:sz w:val="21"/>
          <w:szCs w:val="21"/>
        </w:rPr>
        <w:fldChar w:fldCharType="begin"/>
      </w:r>
      <w:r>
        <w:rPr>
          <w:rFonts w:hint="eastAsia" w:asciiTheme="minorEastAsia" w:hAnsiTheme="minorEastAsia" w:eastAsiaTheme="minorEastAsia" w:cstheme="minorEastAsia"/>
          <w:b/>
          <w:bCs/>
          <w:color w:val="auto"/>
          <w:sz w:val="21"/>
          <w:szCs w:val="21"/>
        </w:rPr>
        <w:instrText xml:space="preserve"> HYPERLINK "mailto:以书面形式（见本\“采购需求反馈意见书\”）使用邮件（gzqunsheng@gzqunsheng.com）发送至采购代理机构，采购代理机构负责把相关意见或建议转交给采购人。" </w:instrText>
      </w:r>
      <w:r>
        <w:rPr>
          <w:rFonts w:hint="eastAsia" w:asciiTheme="minorEastAsia" w:hAnsiTheme="minorEastAsia" w:eastAsiaTheme="minorEastAsia" w:cstheme="minorEastAsia"/>
          <w:b/>
          <w:bCs/>
          <w:color w:val="auto"/>
          <w:sz w:val="21"/>
          <w:szCs w:val="21"/>
        </w:rPr>
        <w:fldChar w:fldCharType="separate"/>
      </w:r>
      <w:r>
        <w:rPr>
          <w:rFonts w:hint="eastAsia" w:asciiTheme="minorEastAsia" w:hAnsiTheme="minorEastAsia" w:eastAsiaTheme="minorEastAsia" w:cstheme="minorEastAsia"/>
          <w:b/>
          <w:bCs/>
          <w:color w:val="auto"/>
          <w:sz w:val="21"/>
          <w:szCs w:val="21"/>
        </w:rPr>
        <w:t>以书面形式（见本“</w:t>
      </w:r>
      <w:r>
        <w:rPr>
          <w:rFonts w:hint="eastAsia" w:asciiTheme="minorEastAsia" w:hAnsiTheme="minorEastAsia" w:eastAsiaTheme="minorEastAsia" w:cstheme="minorEastAsia"/>
          <w:b/>
          <w:bCs/>
          <w:color w:val="auto"/>
          <w:sz w:val="21"/>
          <w:szCs w:val="21"/>
          <w:lang w:val="en-US" w:eastAsia="zh-CN"/>
        </w:rPr>
        <w:t>采购需求</w:t>
      </w:r>
      <w:r>
        <w:rPr>
          <w:rFonts w:hint="eastAsia" w:asciiTheme="minorEastAsia" w:hAnsiTheme="minorEastAsia" w:cstheme="minorEastAsia"/>
          <w:b/>
          <w:bCs/>
          <w:color w:val="auto"/>
          <w:sz w:val="21"/>
          <w:szCs w:val="21"/>
          <w:lang w:val="en-US" w:eastAsia="zh-CN"/>
        </w:rPr>
        <w:t>意见</w:t>
      </w:r>
      <w:r>
        <w:rPr>
          <w:rFonts w:hint="eastAsia" w:asciiTheme="minorEastAsia" w:hAnsiTheme="minorEastAsia" w:eastAsiaTheme="minorEastAsia" w:cstheme="minorEastAsia"/>
          <w:b/>
          <w:bCs/>
          <w:color w:val="auto"/>
          <w:sz w:val="21"/>
          <w:szCs w:val="21"/>
          <w:lang w:val="en-US" w:eastAsia="zh-CN"/>
        </w:rPr>
        <w:t>反馈书</w:t>
      </w:r>
      <w:r>
        <w:rPr>
          <w:rFonts w:hint="eastAsia" w:asciiTheme="minorEastAsia" w:hAnsiTheme="minorEastAsia" w:eastAsiaTheme="minorEastAsia" w:cstheme="minorEastAsia"/>
          <w:b/>
          <w:bCs/>
          <w:color w:val="auto"/>
          <w:sz w:val="21"/>
          <w:szCs w:val="21"/>
        </w:rPr>
        <w:t>”）使用邮件</w:t>
      </w:r>
      <w:r>
        <w:rPr>
          <w:rFonts w:hint="eastAsia" w:asciiTheme="minorEastAsia" w:hAnsiTheme="minorEastAsia" w:eastAsiaTheme="minorEastAsia" w:cstheme="minorEastAsia"/>
          <w:b/>
          <w:bCs/>
          <w:color w:val="auto"/>
          <w:sz w:val="21"/>
          <w:szCs w:val="21"/>
          <w:lang w:val="en-US" w:eastAsia="zh-CN"/>
        </w:rPr>
        <w:t>或纸质或传真或微信等递交方式交</w:t>
      </w:r>
      <w:r>
        <w:rPr>
          <w:rFonts w:hint="eastAsia" w:asciiTheme="minorEastAsia" w:hAnsiTheme="minorEastAsia" w:eastAsiaTheme="minorEastAsia" w:cstheme="minorEastAsia"/>
          <w:b/>
          <w:bCs/>
          <w:color w:val="auto"/>
          <w:sz w:val="21"/>
          <w:szCs w:val="21"/>
        </w:rPr>
        <w:t>至</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采购代理机构</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i w:val="0"/>
          <w:iCs w:val="0"/>
          <w:caps w:val="0"/>
          <w:color w:val="auto"/>
          <w:spacing w:val="0"/>
          <w:kern w:val="2"/>
          <w:sz w:val="21"/>
          <w:szCs w:val="21"/>
          <w:shd w:val="clear" w:fill="FFFFFF"/>
          <w:lang w:val="en-US" w:eastAsia="zh-CN" w:bidi="ar-SA"/>
        </w:rPr>
        <w:t>广东正采招标采购有限公司</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lang w:val="en-US" w:eastAsia="zh-CN"/>
        </w:rPr>
        <w:t>。递交资料的方式：（共3种方式）（1）邮件递交：上述资料均需加盖公章，扫描件按顺序整合成一个PDF文件，文件名按“项目名称+供应商名称”命名并发送至邮箱：</w:t>
      </w:r>
      <w:r>
        <w:rPr>
          <w:rFonts w:hint="eastAsia" w:asciiTheme="minorEastAsia" w:hAnsiTheme="minorEastAsia" w:eastAsiaTheme="minorEastAsia" w:cstheme="minorEastAsia"/>
          <w:b/>
          <w:bCs/>
          <w:color w:val="auto"/>
          <w:sz w:val="21"/>
          <w:szCs w:val="21"/>
          <w:lang w:val="en-US" w:eastAsia="zh-CN"/>
        </w:rPr>
        <w:fldChar w:fldCharType="begin"/>
      </w:r>
      <w:r>
        <w:rPr>
          <w:rFonts w:hint="eastAsia" w:asciiTheme="minorEastAsia" w:hAnsiTheme="minorEastAsia" w:eastAsiaTheme="minorEastAsia" w:cstheme="minorEastAsia"/>
          <w:b/>
          <w:bCs/>
          <w:color w:val="auto"/>
          <w:sz w:val="21"/>
          <w:szCs w:val="21"/>
          <w:lang w:val="en-US" w:eastAsia="zh-CN"/>
        </w:rPr>
        <w:instrText xml:space="preserve"> HYPERLINK "mailto:zc@gd-zc.net。" </w:instrText>
      </w:r>
      <w:r>
        <w:rPr>
          <w:rFonts w:hint="eastAsia" w:asciiTheme="minorEastAsia" w:hAnsiTheme="minorEastAsia" w:eastAsiaTheme="minorEastAsia" w:cstheme="minorEastAsia"/>
          <w:b/>
          <w:bCs/>
          <w:color w:val="auto"/>
          <w:sz w:val="21"/>
          <w:szCs w:val="21"/>
          <w:lang w:val="en-US" w:eastAsia="zh-CN"/>
        </w:rPr>
        <w:fldChar w:fldCharType="separate"/>
      </w:r>
      <w:r>
        <w:rPr>
          <w:rFonts w:hint="eastAsia" w:asciiTheme="minorEastAsia" w:hAnsiTheme="minorEastAsia" w:eastAsiaTheme="minorEastAsia" w:cstheme="minorEastAsia"/>
          <w:b/>
          <w:bCs/>
          <w:color w:val="auto"/>
          <w:kern w:val="0"/>
          <w:sz w:val="21"/>
          <w:szCs w:val="21"/>
          <w:shd w:val="clear" w:color="auto" w:fill="FFFFFF"/>
          <w:lang w:val="en-US" w:eastAsia="zh-CN" w:bidi="ar"/>
        </w:rPr>
        <w:t>zc@gd-zc.net</w:t>
      </w:r>
      <w:r>
        <w:rPr>
          <w:rFonts w:hint="eastAsia" w:asciiTheme="minorEastAsia" w:hAnsiTheme="minorEastAsia" w:eastAsiaTheme="minorEastAsia" w:cstheme="minorEastAsia"/>
          <w:b/>
          <w:bCs/>
          <w:color w:val="auto"/>
          <w:sz w:val="21"/>
          <w:szCs w:val="21"/>
          <w:lang w:val="en-US" w:eastAsia="zh-CN"/>
        </w:rPr>
        <w:t xml:space="preserve"> ；</w:t>
      </w:r>
      <w:r>
        <w:rPr>
          <w:rFonts w:hint="eastAsia" w:asciiTheme="minorEastAsia" w:hAnsiTheme="minorEastAsia" w:eastAsiaTheme="minorEastAsia" w:cstheme="minorEastAsia"/>
          <w:b/>
          <w:bCs/>
          <w:color w:val="auto"/>
          <w:sz w:val="21"/>
          <w:szCs w:val="21"/>
          <w:lang w:val="en-US" w:eastAsia="zh-CN"/>
        </w:rPr>
        <w:fldChar w:fldCharType="end"/>
      </w:r>
      <w:r>
        <w:rPr>
          <w:rFonts w:hint="eastAsia" w:asciiTheme="minorEastAsia" w:hAnsiTheme="minorEastAsia" w:eastAsiaTheme="minorEastAsia" w:cstheme="minorEastAsia"/>
          <w:b/>
          <w:bCs/>
          <w:color w:val="auto"/>
          <w:sz w:val="21"/>
          <w:szCs w:val="21"/>
          <w:lang w:val="en-US" w:eastAsia="zh-CN"/>
        </w:rPr>
        <w:t>（2）纸质递交：上述资料均需加盖公章，在公告指定时间内将上述资料加盖公章交至广东正采招标采购有限公司（</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代理机构）办公室，地：广州市越秀区东风东路750号广联大厦3层；（3）传真递交：上述资料均需加盖公章，以电话传真的方式递交：传真：</w:t>
      </w:r>
      <w:r>
        <w:rPr>
          <w:rFonts w:hint="eastAsia" w:asciiTheme="minorEastAsia" w:hAnsiTheme="minorEastAsia" w:eastAsiaTheme="minorEastAsia" w:cstheme="minorEastAsia"/>
          <w:b/>
          <w:bCs/>
          <w:color w:val="auto"/>
          <w:kern w:val="0"/>
          <w:sz w:val="21"/>
          <w:szCs w:val="21"/>
          <w:shd w:val="clear" w:color="auto" w:fill="FFFFFF"/>
          <w:lang w:val="en-US" w:eastAsia="zh-CN" w:bidi="ar"/>
        </w:rPr>
        <w:t>020-37083115</w:t>
      </w:r>
      <w:r>
        <w:rPr>
          <w:rFonts w:hint="eastAsia" w:asciiTheme="minorEastAsia" w:hAnsiTheme="minorEastAsia" w:eastAsia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rPr>
        <w:fldChar w:fldCharType="end"/>
      </w:r>
    </w:p>
    <w:p w14:paraId="4588DD71">
      <w:pPr>
        <w:rPr>
          <w:rFonts w:hint="eastAsia"/>
          <w:lang w:val="en-US" w:eastAsia="zh-CN"/>
        </w:rPr>
      </w:pPr>
      <w:r>
        <w:rPr>
          <w:rFonts w:hint="eastAsia"/>
          <w:lang w:val="en-US" w:eastAsia="zh-CN"/>
        </w:rPr>
        <w:br w:type="page"/>
      </w:r>
    </w:p>
    <w:p w14:paraId="1834C430">
      <w:pPr>
        <w:pStyle w:val="20"/>
        <w:adjustRightInd w:val="0"/>
        <w:snapToGrid w:val="0"/>
        <w:spacing w:line="360" w:lineRule="auto"/>
        <w:ind w:firstLine="0" w:firstLineChars="0"/>
        <w:jc w:val="center"/>
        <w:rPr>
          <w:rFonts w:hint="eastAsia" w:ascii="宋体" w:hAnsi="宋体" w:cs="宋体"/>
          <w:b/>
          <w:color w:val="auto"/>
          <w:sz w:val="36"/>
          <w:szCs w:val="36"/>
          <w:highlight w:val="none"/>
        </w:rPr>
      </w:pPr>
      <w:r>
        <w:rPr>
          <w:rFonts w:hint="eastAsia" w:ascii="宋体" w:hAnsi="宋体" w:cs="宋体"/>
          <w:b/>
          <w:color w:val="auto"/>
          <w:spacing w:val="40"/>
          <w:kern w:val="2"/>
          <w:sz w:val="36"/>
          <w:szCs w:val="36"/>
          <w:highlight w:val="none"/>
        </w:rPr>
        <w:t xml:space="preserve"> 第二部分  </w:t>
      </w:r>
      <w:r>
        <w:rPr>
          <w:rFonts w:hint="eastAsia" w:ascii="宋体" w:hAnsi="宋体" w:cs="宋体"/>
          <w:b/>
          <w:color w:val="auto"/>
          <w:spacing w:val="40"/>
          <w:kern w:val="2"/>
          <w:sz w:val="36"/>
          <w:szCs w:val="36"/>
          <w:highlight w:val="none"/>
          <w:lang w:val="en-US" w:eastAsia="zh-CN"/>
        </w:rPr>
        <w:t>招标</w:t>
      </w:r>
      <w:r>
        <w:rPr>
          <w:rFonts w:hint="eastAsia" w:ascii="宋体" w:hAnsi="宋体" w:cs="宋体"/>
          <w:b/>
          <w:color w:val="auto"/>
          <w:spacing w:val="40"/>
          <w:kern w:val="2"/>
          <w:sz w:val="36"/>
          <w:szCs w:val="36"/>
          <w:highlight w:val="none"/>
        </w:rPr>
        <w:t>项目内容</w:t>
      </w:r>
    </w:p>
    <w:p w14:paraId="37C0E8BD">
      <w:pPr>
        <w:rPr>
          <w:rFonts w:hint="eastAsia"/>
          <w:lang w:val="en-US" w:eastAsia="zh-CN"/>
        </w:rPr>
      </w:pPr>
    </w:p>
    <w:p w14:paraId="48EE3F05">
      <w:pPr>
        <w:keepNext w:val="0"/>
        <w:keepLines w:val="0"/>
        <w:pageBreakBefore w:val="0"/>
        <w:widowControl/>
        <w:numPr>
          <w:ilvl w:val="0"/>
          <w:numId w:val="0"/>
        </w:numPr>
        <w:kinsoku w:val="0"/>
        <w:wordWrap/>
        <w:overflowPunct/>
        <w:topLinePunct w:val="0"/>
        <w:autoSpaceDE/>
        <w:autoSpaceDN/>
        <w:bidi w:val="0"/>
        <w:adjustRightInd w:val="0"/>
        <w:snapToGrid w:val="0"/>
        <w:spacing w:beforeLines="50"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napToGrid w:val="0"/>
          <w:color w:val="000000"/>
          <w:kern w:val="0"/>
          <w:sz w:val="24"/>
          <w:szCs w:val="24"/>
          <w:lang w:val="en-US" w:eastAsia="zh-CN" w:bidi="ar-SA"/>
        </w:rPr>
        <w:t>一、</w:t>
      </w:r>
      <w:r>
        <w:rPr>
          <w:rFonts w:hint="eastAsia" w:ascii="仿宋_GB2312" w:hAnsi="仿宋_GB2312" w:eastAsia="仿宋_GB2312" w:cs="仿宋_GB2312"/>
          <w:b/>
          <w:bCs/>
          <w:sz w:val="24"/>
          <w:szCs w:val="24"/>
          <w:lang w:val="en-US" w:eastAsia="zh-CN"/>
        </w:rPr>
        <w:t>采购事项具体情况</w:t>
      </w:r>
    </w:p>
    <w:p w14:paraId="5FB8C5B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napToGrid w:val="0"/>
          <w:color w:val="000000"/>
          <w:kern w:val="0"/>
          <w:sz w:val="24"/>
          <w:szCs w:val="24"/>
          <w:lang w:val="en-US" w:eastAsia="zh-CN" w:bidi="ar-SA"/>
        </w:rPr>
        <w:t>（一）</w:t>
      </w:r>
      <w:r>
        <w:rPr>
          <w:rFonts w:hint="eastAsia" w:ascii="仿宋_GB2312" w:hAnsi="仿宋_GB2312" w:eastAsia="仿宋_GB2312" w:cs="仿宋_GB2312"/>
          <w:b/>
          <w:bCs/>
          <w:sz w:val="24"/>
          <w:szCs w:val="24"/>
          <w:lang w:val="en-US" w:eastAsia="zh-CN"/>
        </w:rPr>
        <w:t>采购事项：</w:t>
      </w:r>
      <w:r>
        <w:rPr>
          <w:rFonts w:hint="eastAsia" w:ascii="仿宋_GB2312" w:hAnsi="仿宋_GB2312" w:eastAsia="仿宋_GB2312" w:cs="仿宋_GB2312"/>
          <w:sz w:val="24"/>
          <w:szCs w:val="24"/>
          <w:lang w:val="en-US" w:eastAsia="zh-CN"/>
        </w:rPr>
        <w:t>广东天禾现代物流设施设备更新项目（立体式货架包括四向托盘穿梭车、垂直升降机，输送带及控制系统等）</w:t>
      </w:r>
    </w:p>
    <w:p w14:paraId="453022E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（二）</w:t>
      </w:r>
      <w:r>
        <w:rPr>
          <w:rFonts w:hint="eastAsia" w:ascii="宋体" w:hAnsi="宋体" w:cs="Arial"/>
          <w:b/>
          <w:color w:val="auto"/>
          <w:sz w:val="24"/>
          <w:szCs w:val="24"/>
          <w:highlight w:val="none"/>
          <w:lang w:val="en-US" w:eastAsia="zh-CN"/>
        </w:rPr>
        <w:t>预算金额</w:t>
      </w:r>
      <w:r>
        <w:rPr>
          <w:rFonts w:ascii="宋体" w:hAnsi="宋体" w:cs="Arial"/>
          <w:color w:val="auto"/>
          <w:sz w:val="24"/>
          <w:szCs w:val="24"/>
          <w:highlight w:val="none"/>
        </w:rPr>
        <w:t>：</w:t>
      </w:r>
      <w:r>
        <w:rPr>
          <w:rFonts w:hint="eastAsia" w:ascii="宋体" w:hAnsi="宋体" w:cs="Arial"/>
          <w:color w:val="auto"/>
          <w:sz w:val="24"/>
          <w:szCs w:val="24"/>
          <w:highlight w:val="none"/>
          <w:lang w:val="en-US" w:eastAsia="zh-CN"/>
        </w:rPr>
        <w:t>人民币17,082,900元</w:t>
      </w:r>
      <w:bookmarkStart w:id="0" w:name="_GoBack"/>
      <w:bookmarkEnd w:id="0"/>
    </w:p>
    <w:p w14:paraId="2121B86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（三）招标内容概况：</w:t>
      </w:r>
    </w:p>
    <w:p w14:paraId="3950602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宋体" w:hAnsi="宋体" w:cs="Arial"/>
          <w:color w:val="auto"/>
          <w:sz w:val="24"/>
          <w:szCs w:val="24"/>
          <w:highlight w:val="none"/>
          <w:lang w:val="en-US" w:eastAsia="zh-CN"/>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 xml:space="preserve">  </w:t>
      </w:r>
      <w:r>
        <w:rPr>
          <w:rFonts w:hint="eastAsia" w:ascii="宋体" w:hAnsi="宋体" w:cs="Arial"/>
          <w:color w:val="auto"/>
          <w:sz w:val="24"/>
          <w:szCs w:val="24"/>
          <w:highlight w:val="none"/>
          <w:lang w:val="en-US" w:eastAsia="zh-CN"/>
        </w:rPr>
        <w:t>1、主要采购标的：立体式货架，包括：四向托盘穿梭车、垂直升降机，输送带及控制系统、WMS\WCS调度管理系统等（包括立体库配套托盘）。</w:t>
      </w:r>
    </w:p>
    <w:p w14:paraId="15A1B4E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宋体" w:hAnsi="宋体" w:cs="Arial"/>
          <w:color w:val="auto"/>
          <w:sz w:val="24"/>
          <w:szCs w:val="24"/>
          <w:highlight w:val="none"/>
          <w:lang w:val="en-US" w:eastAsia="zh-CN"/>
        </w:rPr>
      </w:pPr>
      <w:r>
        <w:rPr>
          <w:rFonts w:hint="eastAsia" w:ascii="宋体" w:hAnsi="宋体" w:cs="Arial"/>
          <w:color w:val="auto"/>
          <w:sz w:val="24"/>
          <w:szCs w:val="24"/>
          <w:highlight w:val="none"/>
          <w:lang w:val="en-US" w:eastAsia="zh-CN"/>
        </w:rPr>
        <w:t>2、需实现的功能与目标：对物流仓进行立体式货架智能化设计，采用四向穿梭车系统、采用托盘输送系统，以现代智能数字化设备代替人工操作，实现库房物资智能转运、收发货、提升存储能力等功能。</w:t>
      </w:r>
    </w:p>
    <w:p w14:paraId="76F6961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宋体" w:hAnsi="宋体" w:cs="Arial"/>
          <w:color w:val="auto"/>
          <w:sz w:val="24"/>
          <w:szCs w:val="24"/>
          <w:highlight w:val="none"/>
          <w:lang w:val="en-US" w:eastAsia="zh-CN"/>
        </w:rPr>
        <w:t>3、交付地点:广东省行政区域范围内(含广州市等)。</w:t>
      </w:r>
    </w:p>
    <w:p w14:paraId="158E79CD">
      <w:pPr>
        <w:spacing w:line="400" w:lineRule="exact"/>
        <w:ind w:firstLine="482" w:firstLineChars="200"/>
        <w:rPr>
          <w:rFonts w:hint="eastAsia" w:ascii="仿宋_GB2312" w:hAnsi="仿宋_GB2312" w:eastAsia="仿宋_GB2312" w:cs="仿宋_GB2312"/>
          <w:b/>
          <w:bCs/>
          <w:color w:val="000000" w:themeColor="text1"/>
          <w:sz w:val="24"/>
          <w:szCs w:val="24"/>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（四）</w:t>
      </w:r>
      <w:r>
        <w:rPr>
          <w:rFonts w:hint="eastAsia" w:ascii="仿宋_GB2312" w:hAnsi="仿宋_GB2312" w:eastAsia="仿宋_GB2312" w:cs="仿宋_GB2312"/>
          <w:b/>
          <w:bCs/>
          <w:color w:val="000000" w:themeColor="text1"/>
          <w:sz w:val="24"/>
          <w:szCs w:val="24"/>
          <w:lang w:eastAsia="zh-CN"/>
          <w14:textFill>
            <w14:solidFill>
              <w14:schemeClr w14:val="tx1"/>
            </w14:solidFill>
          </w14:textFill>
        </w:rPr>
        <w:t>设备采购内容：</w:t>
      </w:r>
    </w:p>
    <w:p w14:paraId="15E37ABA">
      <w:pPr>
        <w:spacing w:line="400" w:lineRule="exact"/>
        <w:ind w:firstLine="482" w:firstLineChars="200"/>
        <w:rPr>
          <w:rFonts w:hint="eastAsia" w:ascii="仿宋_GB2312" w:hAnsi="仿宋_GB2312" w:eastAsia="仿宋_GB2312" w:cs="仿宋_GB2312"/>
          <w:b/>
          <w:bCs/>
          <w:sz w:val="24"/>
          <w:szCs w:val="24"/>
          <w:lang w:eastAsia="zh-CN"/>
        </w:rPr>
      </w:pPr>
      <w:r>
        <w:rPr>
          <w:rFonts w:ascii="仿宋_GB2312" w:hAnsi="仿宋_GB2312" w:eastAsia="仿宋_GB2312" w:cs="仿宋_GB2312"/>
          <w:b/>
          <w:bCs/>
          <w:sz w:val="24"/>
          <w:szCs w:val="24"/>
          <w:lang w:eastAsia="zh-CN"/>
        </w:rPr>
        <w:t>1．</w:t>
      </w:r>
      <w:r>
        <w:rPr>
          <w:rFonts w:hint="eastAsia" w:ascii="仿宋_GB2312" w:hAnsi="仿宋_GB2312" w:eastAsia="仿宋_GB2312" w:cs="仿宋_GB2312"/>
          <w:b/>
          <w:bCs/>
          <w:color w:val="000000" w:themeColor="text1"/>
          <w:sz w:val="24"/>
          <w:szCs w:val="24"/>
          <w:lang w:eastAsia="zh-CN"/>
          <w14:textFill>
            <w14:solidFill>
              <w14:schemeClr w14:val="tx1"/>
            </w14:solidFill>
          </w14:textFill>
        </w:rPr>
        <w:t>采购事项：</w:t>
      </w:r>
      <w:r>
        <w:rPr>
          <w:rFonts w:hint="eastAsia" w:ascii="仿宋_GB2312" w:hAnsi="仿宋_GB2312" w:eastAsia="仿宋_GB2312" w:cs="仿宋_GB2312"/>
          <w:sz w:val="24"/>
          <w:szCs w:val="24"/>
          <w:lang w:eastAsia="zh-CN"/>
        </w:rPr>
        <w:t>立体式货架包括四向托盘穿梭车、垂直升降机，输送带及控制系统等</w:t>
      </w:r>
      <w:r>
        <w:rPr>
          <w:rFonts w:hint="eastAsia" w:ascii="仿宋_GB2312" w:hAnsi="仿宋_GB2312" w:eastAsia="仿宋_GB2312" w:cs="仿宋_GB2312"/>
          <w:color w:val="000000" w:themeColor="text1"/>
          <w:sz w:val="24"/>
          <w:szCs w:val="24"/>
          <w:lang w:eastAsia="zh-CN"/>
          <w14:textFill>
            <w14:solidFill>
              <w14:schemeClr w14:val="tx1"/>
            </w14:solidFill>
          </w14:textFill>
        </w:rPr>
        <w:t>及相关配套配件</w:t>
      </w:r>
    </w:p>
    <w:p w14:paraId="12127BF7">
      <w:pPr>
        <w:spacing w:line="400" w:lineRule="exact"/>
        <w:ind w:firstLine="482" w:firstLineChars="200"/>
        <w:rPr>
          <w:rFonts w:hint="eastAsia" w:ascii="仿宋_GB2312" w:hAnsi="仿宋_GB2312" w:eastAsia="仿宋_GB2312" w:cs="仿宋_GB2312"/>
          <w:b/>
          <w:bCs/>
          <w:sz w:val="24"/>
          <w:szCs w:val="24"/>
          <w:lang w:eastAsia="zh-CN"/>
        </w:rPr>
      </w:pPr>
      <w:r>
        <w:rPr>
          <w:rFonts w:ascii="仿宋_GB2312" w:hAnsi="仿宋_GB2312" w:eastAsia="仿宋_GB2312" w:cs="仿宋_GB2312"/>
          <w:b/>
          <w:bCs/>
          <w:sz w:val="24"/>
          <w:szCs w:val="24"/>
          <w:lang w:eastAsia="zh-CN"/>
        </w:rPr>
        <w:t>2．</w:t>
      </w:r>
      <w:r>
        <w:rPr>
          <w:rFonts w:hint="eastAsia" w:ascii="仿宋_GB2312" w:hAnsi="仿宋_GB2312" w:eastAsia="仿宋_GB2312" w:cs="仿宋_GB2312"/>
          <w:b/>
          <w:bCs/>
          <w:sz w:val="24"/>
          <w:szCs w:val="24"/>
          <w:lang w:eastAsia="zh-CN"/>
        </w:rPr>
        <w:t>设备采购设备参数和技术规格：</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78"/>
        <w:gridCol w:w="447"/>
        <w:gridCol w:w="679"/>
        <w:gridCol w:w="6718"/>
      </w:tblGrid>
      <w:tr w14:paraId="57960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00" w:hRule="atLeast"/>
        </w:trPr>
        <w:tc>
          <w:tcPr>
            <w:tcW w:w="397" w:type="pct"/>
            <w:shd w:val="clear" w:color="auto" w:fill="auto"/>
            <w:noWrap/>
            <w:vAlign w:val="center"/>
          </w:tcPr>
          <w:p w14:paraId="1E31BDEE">
            <w:pPr>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序号</w:t>
            </w:r>
          </w:p>
        </w:tc>
        <w:tc>
          <w:tcPr>
            <w:tcW w:w="262" w:type="pct"/>
            <w:shd w:val="clear" w:color="auto" w:fill="auto"/>
            <w:vAlign w:val="center"/>
          </w:tcPr>
          <w:p w14:paraId="755018D7">
            <w:pPr>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产品名称</w:t>
            </w:r>
          </w:p>
        </w:tc>
        <w:tc>
          <w:tcPr>
            <w:tcW w:w="398" w:type="pct"/>
            <w:shd w:val="clear" w:color="auto" w:fill="auto"/>
            <w:noWrap/>
            <w:vAlign w:val="center"/>
          </w:tcPr>
          <w:p w14:paraId="3B5E5B16">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数量</w:t>
            </w:r>
          </w:p>
        </w:tc>
        <w:tc>
          <w:tcPr>
            <w:tcW w:w="3942" w:type="pct"/>
            <w:shd w:val="clear" w:color="auto" w:fill="auto"/>
            <w:noWrap/>
            <w:vAlign w:val="center"/>
          </w:tcPr>
          <w:p w14:paraId="1CD5F7F4">
            <w:pPr>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配置</w:t>
            </w:r>
          </w:p>
        </w:tc>
      </w:tr>
      <w:tr w14:paraId="6FF6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restart"/>
            <w:shd w:val="clear" w:color="auto" w:fill="auto"/>
            <w:noWrap/>
            <w:vAlign w:val="center"/>
          </w:tcPr>
          <w:p w14:paraId="323A9E9F">
            <w:pPr>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lang w:eastAsia="zh-CN" w:bidi="ar"/>
              </w:rPr>
              <w:t>1</w:t>
            </w:r>
          </w:p>
        </w:tc>
        <w:tc>
          <w:tcPr>
            <w:tcW w:w="262" w:type="pct"/>
            <w:vMerge w:val="restart"/>
            <w:shd w:val="clear" w:color="auto" w:fill="auto"/>
            <w:vAlign w:val="center"/>
          </w:tcPr>
          <w:p w14:paraId="0DE403B8">
            <w:pPr>
              <w:jc w:val="center"/>
              <w:textAlignment w:val="center"/>
              <w:rPr>
                <w:rFonts w:hint="eastAsia" w:ascii="宋体" w:hAnsi="宋体" w:eastAsia="宋体" w:cs="宋体"/>
                <w:color w:val="auto"/>
                <w:sz w:val="20"/>
                <w:szCs w:val="20"/>
                <w:highlight w:val="none"/>
              </w:rPr>
            </w:pPr>
            <w:r>
              <w:rPr>
                <w:rFonts w:ascii="宋体" w:hAnsi="宋体" w:eastAsia="宋体" w:cs="宋体"/>
                <w:color w:val="auto"/>
                <w:sz w:val="20"/>
                <w:szCs w:val="20"/>
                <w:highlight w:val="none"/>
              </w:rPr>
              <w:t>组合式货架系统</w:t>
            </w:r>
          </w:p>
        </w:tc>
        <w:tc>
          <w:tcPr>
            <w:tcW w:w="398" w:type="pct"/>
            <w:vMerge w:val="restart"/>
            <w:shd w:val="clear" w:color="auto" w:fill="auto"/>
            <w:vAlign w:val="center"/>
          </w:tcPr>
          <w:p w14:paraId="1FF504E2">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1套</w:t>
            </w:r>
          </w:p>
        </w:tc>
        <w:tc>
          <w:tcPr>
            <w:tcW w:w="3942" w:type="pct"/>
            <w:shd w:val="clear" w:color="auto" w:fill="auto"/>
            <w:vAlign w:val="center"/>
          </w:tcPr>
          <w:p w14:paraId="7F6F6808">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 xml:space="preserve">货架系统在保证足够的检修通道的前提下，根据立体仓库可利用面积及可利用净空高度总货位数≥6924托（具体参考图纸)，每个托盘载荷≤2080kg（含托盘重量）。 </w:t>
            </w:r>
          </w:p>
        </w:tc>
      </w:tr>
      <w:tr w14:paraId="426E8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FAD82B2">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E7BCB24">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6A741D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1E2D1440">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货架镀锌板子轨道运行高度不低于200mm，镀锌层厚度双面大于270克/平方米。</w:t>
            </w:r>
            <w:r>
              <w:rPr>
                <w:rFonts w:hint="eastAsia" w:ascii="宋体" w:hAnsi="宋体" w:eastAsia="宋体" w:cs="宋体"/>
                <w:bCs/>
                <w:caps/>
                <w:color w:val="auto"/>
                <w:highlight w:val="none"/>
                <w:lang w:eastAsia="zh-CN"/>
              </w:rPr>
              <w:t>母轨道厚度不低于3.0mm。</w:t>
            </w:r>
          </w:p>
        </w:tc>
      </w:tr>
      <w:tr w14:paraId="65E05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5ED8CAD">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53A8F82">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9976D04">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2A02CB7">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货架系统整体设计具有充分的理论分析和实际验证，符合国家JB/T 11270-2011《立体仓库组合式钢结构货架技术条件》。</w:t>
            </w:r>
          </w:p>
        </w:tc>
      </w:tr>
      <w:tr w14:paraId="236B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A2BB521">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9D091ED">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575B7684">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17AE9E5">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采用独立式、组合式货架，不与除地面外的建筑物相连。</w:t>
            </w:r>
          </w:p>
        </w:tc>
      </w:tr>
      <w:tr w14:paraId="7F46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846E987">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379C8DE">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57BFDBF">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021BCAFD">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具有良好的刚度和强度，满足地震设防烈度要求，不低于6级，加速度值为0.05g，第一分组。</w:t>
            </w:r>
          </w:p>
        </w:tc>
      </w:tr>
      <w:tr w14:paraId="1335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FF17F7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EB3A736">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CBBAF27">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D22982F">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货架选用国内一线品牌。投标时须备注选用品牌，中标后不得更换。</w:t>
            </w:r>
          </w:p>
        </w:tc>
      </w:tr>
      <w:tr w14:paraId="6F10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A2131F7">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686D653">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3165AA0">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DD92942">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标书中提供货架规格，供货时提供立柱主材的材质证明书。货架钢材需选用国内一线钢厂产品。</w:t>
            </w:r>
          </w:p>
        </w:tc>
      </w:tr>
      <w:tr w14:paraId="0D70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EC400C1">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05DEDA9">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540B95EC">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E736ED8">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要求投标文件中明确标示出货架立柱、横梁、导轨等主要构件的材质、规格、尺寸、厚度等。</w:t>
            </w:r>
          </w:p>
        </w:tc>
      </w:tr>
      <w:tr w14:paraId="3D928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50C0E98">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A98B290">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6B579065">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F0713E2">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货架系统在保证足够的检修通道，需做检修层网（硬边网片50*50*4.0）（公共子道+母道），承载≥200kg/m</w:t>
            </w:r>
            <w:r>
              <w:rPr>
                <w:rFonts w:hint="eastAsia" w:ascii="宋体" w:hAnsi="宋体" w:eastAsia="宋体" w:cs="宋体"/>
                <w:color w:val="auto"/>
                <w:highlight w:val="none"/>
                <w:vertAlign w:val="superscript"/>
                <w:lang w:eastAsia="zh-CN"/>
              </w:rPr>
              <w:t>2</w:t>
            </w:r>
            <w:r>
              <w:rPr>
                <w:rFonts w:hint="eastAsia" w:ascii="宋体" w:hAnsi="宋体" w:eastAsia="宋体" w:cs="宋体"/>
                <w:color w:val="auto"/>
                <w:highlight w:val="none"/>
                <w:lang w:eastAsia="zh-CN"/>
              </w:rPr>
              <w:t>。</w:t>
            </w:r>
          </w:p>
        </w:tc>
      </w:tr>
      <w:tr w14:paraId="4F670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9A6BABA">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C5650CE">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2FC1F001">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666C382">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横梁和立柱每端采用防松高强度螺栓链接。</w:t>
            </w:r>
          </w:p>
        </w:tc>
      </w:tr>
      <w:tr w14:paraId="34E8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FC84B4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1FBB0FE">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0B7D1D8">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FC1B27A">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货架设计按照货物充实率100%来计算强度。</w:t>
            </w:r>
          </w:p>
        </w:tc>
      </w:tr>
      <w:tr w14:paraId="65EA1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0327D7C">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C04E334">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F3FBA41">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28CFD9C">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货架需要出具静态计算。静态计算应该包括所有的细节(包括承重，尺寸和横截面的典型参数，惯心距，计算应力和变形记录的使用材料等等)，并提供有限元分析报告。</w:t>
            </w:r>
          </w:p>
        </w:tc>
      </w:tr>
      <w:tr w14:paraId="6DE0E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10B19A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1E3ECB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C70EB55">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1FFDFD08">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货架的表面防腐处理不低于国家GB/T-6807-2001标准，同时表面喷塑处理。必须丰满光滑、无色差、无缩孔鼓包现象（颜色由业主确认）。</w:t>
            </w:r>
          </w:p>
        </w:tc>
      </w:tr>
      <w:tr w14:paraId="47AED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7B4066B">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067161C">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475C66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0DC7DE7B">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货架与地面采用化学螺栓固定方式。</w:t>
            </w:r>
          </w:p>
        </w:tc>
      </w:tr>
      <w:tr w14:paraId="3BD6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8B75C2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D55EF12">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F04B6B9">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74C16F43">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货架在运输包装时要做有效防护，要保证货架安全、完好地运输到安装现场。不得因运输造成磕碰掉漆等情况，如果发现有掉漆的货架配件，招标方有权要求更换新的满足使用条件的配件。</w:t>
            </w:r>
          </w:p>
        </w:tc>
      </w:tr>
      <w:tr w14:paraId="66A2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5C1BE02">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4A30B3A">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2461E91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DF261E6">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货架与地基的连接方式：采用化学螺栓连接，浇灌水泥加固。</w:t>
            </w:r>
          </w:p>
        </w:tc>
      </w:tr>
      <w:tr w14:paraId="043B2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409F83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D83A8E1">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A0F51F9">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0EF265E1">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一楼立柱截面长不低于100mm，宽度不低于73mm，厚度不低于2mm，二楼立柱截面长不低于90mm，宽度不低于67mm，厚度不低于2mm。</w:t>
            </w:r>
          </w:p>
        </w:tc>
      </w:tr>
      <w:tr w14:paraId="2FBA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D53FD84">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A31AF95">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2DC7117">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F29C011">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采用环氧树脂粉末静电喷涂工艺，涂层厚度40-70微米，其流程为：黑坯→脱脂→清洗→陶化→清洗→烘干→喷塑→高温固化→冷却→成品。静电喷粉附着力达到GB92865-88标准中2级要求，表面质量符合GB8932-88标准规定；涂层表面应均匀、光亮、色泽一致，不应有起泡、脱落、开裂、流挂、皱皮、外来杂质及其他降低保护与装饰性的显著污浊物。</w:t>
            </w:r>
          </w:p>
        </w:tc>
      </w:tr>
      <w:tr w14:paraId="6738E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6CF310F">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599BDC1">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8D88CE2">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16115C86">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货架必须具有足够的强度和稳定性。具有承受因货物分布不均而造成的偏载的能力，货架的各项技术指标须达到如下标准：</w:t>
            </w:r>
          </w:p>
          <w:p w14:paraId="33173821">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立柱全长调节孔距累计误差不大于±2mm，相临孔距误差小于0.1mm；</w:t>
            </w:r>
          </w:p>
          <w:p w14:paraId="1CD10D5A">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货架立柱全长尺寸极限偏差不大于±2mm；</w:t>
            </w:r>
          </w:p>
          <w:p w14:paraId="1AF9F47D">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立柱片弯曲误差小于L/1000 mm；最大不超过10mm;</w:t>
            </w:r>
          </w:p>
          <w:p w14:paraId="02251B22">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立柱与安装地面垂直偏差小于L/1000mm ；最大不超过15mm；</w:t>
            </w:r>
          </w:p>
          <w:p w14:paraId="648E91E9">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横梁长度尺寸误差小于±2mm；</w:t>
            </w:r>
          </w:p>
          <w:p w14:paraId="4C807814">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横梁装配后两端高低误差小于±2mm，全长范围内横梁水平偏差小于1/1000mm，最大不超过10mm；</w:t>
            </w:r>
          </w:p>
          <w:p w14:paraId="778B7F57">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货架片全高的极限偏差不大于±2mm；</w:t>
            </w:r>
          </w:p>
          <w:p w14:paraId="3DA111E9">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货架片全宽的极限偏差不大于±2mm；</w:t>
            </w:r>
          </w:p>
        </w:tc>
      </w:tr>
      <w:tr w14:paraId="44C4A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C280FA8">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7ED5AD9">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1E736598">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7C32739">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提升机接驳处货架要做抗疲劳设计或货架要做加强设计。</w:t>
            </w:r>
          </w:p>
        </w:tc>
      </w:tr>
      <w:tr w14:paraId="4E555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66A2103">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0813BFD">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1C4D30CA">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8E75930">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设置检修楼梯，到达每层货架的检修层通道，每层设置一个安全门门锁，分层控制设备，不影响其他层正常作业；</w:t>
            </w:r>
          </w:p>
        </w:tc>
      </w:tr>
      <w:tr w14:paraId="5817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C2D5789">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283F15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E1FAB3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0ACF91BF">
            <w:pPr>
              <w:spacing w:line="360" w:lineRule="auto"/>
              <w:rPr>
                <w:rFonts w:hint="eastAsia" w:ascii="宋体" w:hAnsi="宋体" w:eastAsia="宋体" w:cs="宋体"/>
                <w:b/>
                <w:bCs/>
                <w:i/>
                <w:iCs/>
                <w:color w:val="auto"/>
                <w:highlight w:val="none"/>
                <w:lang w:eastAsia="zh-CN"/>
              </w:rPr>
            </w:pPr>
            <w:r>
              <w:rPr>
                <w:rFonts w:hint="eastAsia" w:ascii="宋体" w:hAnsi="宋体" w:eastAsia="宋体" w:cs="宋体"/>
                <w:color w:val="auto"/>
                <w:highlight w:val="none"/>
                <w:lang w:eastAsia="zh-CN"/>
              </w:rPr>
              <w:t>充电桩每层布置1个工位，5面封板隔离，</w:t>
            </w:r>
            <w:r>
              <w:rPr>
                <w:rFonts w:ascii="宋体" w:hAnsi="宋体" w:eastAsia="宋体" w:cs="宋体"/>
                <w:color w:val="auto"/>
                <w:highlight w:val="none"/>
                <w:lang w:eastAsia="zh-CN"/>
              </w:rPr>
              <w:t>每个工位配置相应规格的支撑(货架备)，用以安装防火球(客户备)</w:t>
            </w:r>
          </w:p>
        </w:tc>
      </w:tr>
      <w:tr w14:paraId="46D8D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restart"/>
            <w:shd w:val="clear" w:color="auto" w:fill="auto"/>
            <w:noWrap/>
            <w:vAlign w:val="center"/>
          </w:tcPr>
          <w:p w14:paraId="05F80C3C">
            <w:pPr>
              <w:jc w:val="center"/>
              <w:textAlignment w:val="center"/>
              <w:rPr>
                <w:rFonts w:hint="eastAsia" w:ascii="宋体" w:hAnsi="宋体" w:eastAsia="宋体" w:cs="宋体"/>
                <w:color w:val="auto"/>
                <w:sz w:val="20"/>
                <w:szCs w:val="20"/>
                <w:highlight w:val="none"/>
                <w:lang w:eastAsia="zh-CN" w:bidi="ar"/>
              </w:rPr>
            </w:pPr>
            <w:r>
              <w:rPr>
                <w:rFonts w:hint="eastAsia" w:ascii="宋体" w:hAnsi="宋体" w:eastAsia="宋体" w:cs="宋体"/>
                <w:color w:val="auto"/>
                <w:sz w:val="20"/>
                <w:szCs w:val="20"/>
                <w:highlight w:val="none"/>
                <w:lang w:eastAsia="zh-CN" w:bidi="ar"/>
              </w:rPr>
              <w:t>2</w:t>
            </w:r>
          </w:p>
        </w:tc>
        <w:tc>
          <w:tcPr>
            <w:tcW w:w="262" w:type="pct"/>
            <w:vMerge w:val="restart"/>
            <w:shd w:val="clear" w:color="auto" w:fill="auto"/>
            <w:vAlign w:val="center"/>
          </w:tcPr>
          <w:p w14:paraId="17FA1CB6">
            <w:pPr>
              <w:jc w:val="center"/>
              <w:textAlignment w:val="center"/>
              <w:rPr>
                <w:rFonts w:hint="eastAsia" w:ascii="宋体" w:hAnsi="宋体" w:eastAsia="宋体" w:cs="宋体"/>
                <w:color w:val="auto"/>
                <w:sz w:val="20"/>
                <w:szCs w:val="20"/>
                <w:highlight w:val="none"/>
              </w:rPr>
            </w:pPr>
            <w:r>
              <w:rPr>
                <w:rFonts w:ascii="宋体" w:hAnsi="宋体" w:eastAsia="宋体" w:cs="宋体"/>
                <w:color w:val="auto"/>
                <w:sz w:val="20"/>
                <w:szCs w:val="20"/>
                <w:highlight w:val="none"/>
              </w:rPr>
              <w:t>四向车</w:t>
            </w:r>
          </w:p>
        </w:tc>
        <w:tc>
          <w:tcPr>
            <w:tcW w:w="398" w:type="pct"/>
            <w:vMerge w:val="restart"/>
            <w:shd w:val="clear" w:color="auto" w:fill="auto"/>
            <w:vAlign w:val="center"/>
          </w:tcPr>
          <w:p w14:paraId="55C91F41">
            <w:pPr>
              <w:spacing w:line="360" w:lineRule="auto"/>
              <w:rPr>
                <w:rFonts w:hint="default" w:ascii="宋体" w:hAnsi="宋体" w:eastAsia="宋体" w:cs="宋体"/>
                <w:color w:val="auto"/>
                <w:spacing w:val="2"/>
                <w:highlight w:val="none"/>
                <w:lang w:val="en-US" w:eastAsia="zh-CN"/>
              </w:rPr>
            </w:pPr>
            <w:r>
              <w:rPr>
                <w:rFonts w:hint="eastAsia" w:ascii="宋体" w:hAnsi="宋体" w:eastAsia="宋体" w:cs="宋体"/>
                <w:color w:val="auto"/>
                <w:spacing w:val="2"/>
                <w:highlight w:val="none"/>
                <w:lang w:val="en-US" w:eastAsia="zh-CN"/>
              </w:rPr>
              <w:t>12台</w:t>
            </w:r>
          </w:p>
        </w:tc>
        <w:tc>
          <w:tcPr>
            <w:tcW w:w="3942" w:type="pct"/>
            <w:shd w:val="clear" w:color="auto" w:fill="auto"/>
            <w:vAlign w:val="center"/>
          </w:tcPr>
          <w:p w14:paraId="712C2D75">
            <w:pPr>
              <w:spacing w:line="360" w:lineRule="auto"/>
              <w:rPr>
                <w:rFonts w:hint="eastAsia" w:ascii="宋体" w:hAnsi="宋体" w:eastAsia="宋体" w:cs="宋体"/>
                <w:bCs/>
                <w:color w:val="auto"/>
                <w:highlight w:val="none"/>
                <w:lang w:eastAsia="zh-CN"/>
              </w:rPr>
            </w:pPr>
            <w:r>
              <w:rPr>
                <w:rFonts w:hint="eastAsia" w:ascii="宋体" w:hAnsi="宋体" w:eastAsia="宋体" w:cs="宋体"/>
                <w:color w:val="auto"/>
                <w:spacing w:val="2"/>
                <w:highlight w:val="none"/>
                <w:lang w:eastAsia="zh-CN"/>
              </w:rPr>
              <w:t>四向穿梭车采用磷酸铁锂电池供电，合理设置充电桩，充电次数不小于1500次，续航时间不小于8小时，充电时间不超过2小时。</w:t>
            </w:r>
          </w:p>
        </w:tc>
      </w:tr>
      <w:tr w14:paraId="69642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888B7D1">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0007CBC">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F1A3BE7">
            <w:pPr>
              <w:spacing w:line="360" w:lineRule="auto"/>
              <w:rPr>
                <w:rFonts w:hint="eastAsia" w:ascii="宋体" w:hAnsi="宋体" w:eastAsia="宋体" w:cs="宋体"/>
                <w:color w:val="auto"/>
                <w:spacing w:val="2"/>
                <w:highlight w:val="none"/>
                <w:lang w:eastAsia="zh-CN"/>
              </w:rPr>
            </w:pPr>
          </w:p>
        </w:tc>
        <w:tc>
          <w:tcPr>
            <w:tcW w:w="3942" w:type="pct"/>
            <w:shd w:val="clear" w:color="auto" w:fill="auto"/>
            <w:vAlign w:val="center"/>
          </w:tcPr>
          <w:p w14:paraId="2DBDE76E">
            <w:pPr>
              <w:spacing w:line="360" w:lineRule="auto"/>
              <w:rPr>
                <w:rFonts w:hint="eastAsia" w:ascii="宋体" w:hAnsi="宋体" w:eastAsia="宋体" w:cs="宋体"/>
                <w:bCs/>
                <w:color w:val="auto"/>
                <w:highlight w:val="none"/>
                <w:lang w:eastAsia="zh-CN"/>
              </w:rPr>
            </w:pPr>
            <w:r>
              <w:rPr>
                <w:rFonts w:hint="eastAsia" w:ascii="宋体" w:hAnsi="宋体" w:eastAsia="宋体" w:cs="宋体"/>
                <w:color w:val="auto"/>
                <w:spacing w:val="2"/>
                <w:highlight w:val="none"/>
                <w:lang w:eastAsia="zh-CN"/>
              </w:rPr>
              <w:t>四向穿梭车数量：12台，小车采用嵌入式控制板控制（单片机控制）</w:t>
            </w:r>
          </w:p>
        </w:tc>
      </w:tr>
      <w:tr w14:paraId="2D972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1C9E977">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A0E42E8">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1DD8CC6A">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1029C5D4">
            <w:pPr>
              <w:spacing w:line="360" w:lineRule="auto"/>
              <w:rPr>
                <w:rFonts w:hint="eastAsia" w:ascii="宋体" w:hAnsi="宋体" w:eastAsia="宋体" w:cs="宋体"/>
                <w:bCs/>
                <w:color w:val="auto"/>
                <w:highlight w:val="none"/>
                <w:lang w:eastAsia="zh-CN"/>
              </w:rPr>
            </w:pPr>
            <w:r>
              <w:rPr>
                <w:rFonts w:hint="eastAsia" w:ascii="宋体" w:hAnsi="宋体" w:eastAsia="宋体" w:cs="宋体"/>
                <w:color w:val="auto"/>
                <w:highlight w:val="none"/>
                <w:lang w:eastAsia="zh-CN"/>
              </w:rPr>
              <w:t>四向车采用伺服驱动方式，穿梭车定位精度为±5mm。</w:t>
            </w:r>
          </w:p>
        </w:tc>
      </w:tr>
      <w:tr w14:paraId="2DF2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9B81164">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57FF1C9">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765F905">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86B784C">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换向时间≤5s，顶升时间≤5s。</w:t>
            </w:r>
          </w:p>
        </w:tc>
      </w:tr>
      <w:tr w14:paraId="566F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76F346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03A0432">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6DCF3E1C">
            <w:pPr>
              <w:spacing w:line="360" w:lineRule="auto"/>
              <w:rPr>
                <w:rFonts w:hint="eastAsia" w:ascii="宋体" w:hAnsi="宋体" w:eastAsia="宋体" w:cs="宋体"/>
                <w:color w:val="auto"/>
                <w:spacing w:val="2"/>
                <w:highlight w:val="none"/>
                <w:lang w:eastAsia="zh-CN"/>
              </w:rPr>
            </w:pPr>
          </w:p>
        </w:tc>
        <w:tc>
          <w:tcPr>
            <w:tcW w:w="3942" w:type="pct"/>
            <w:shd w:val="clear" w:color="auto" w:fill="auto"/>
            <w:vAlign w:val="center"/>
          </w:tcPr>
          <w:p w14:paraId="2CBFD585">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spacing w:val="2"/>
                <w:highlight w:val="none"/>
                <w:lang w:eastAsia="zh-CN"/>
              </w:rPr>
              <w:t>设备运行时噪音不超过70db（在一米外检测）。</w:t>
            </w:r>
          </w:p>
        </w:tc>
      </w:tr>
      <w:tr w14:paraId="7925C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0B5FEC7">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0FBC95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AE23DF3">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6691A61">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穿梭车承重：2080KG，采用机械传动，不允许液压结构。</w:t>
            </w:r>
          </w:p>
        </w:tc>
      </w:tr>
      <w:tr w14:paraId="15221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9D6E42C">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3FC4B13">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6358D969">
            <w:pPr>
              <w:pStyle w:val="5"/>
              <w:spacing w:line="360" w:lineRule="auto"/>
              <w:rPr>
                <w:rFonts w:hint="eastAsia" w:ascii="宋体" w:hAnsi="宋体" w:eastAsia="宋体" w:cs="宋体"/>
                <w:color w:val="auto"/>
                <w:highlight w:val="none"/>
              </w:rPr>
            </w:pPr>
          </w:p>
        </w:tc>
        <w:tc>
          <w:tcPr>
            <w:tcW w:w="3942" w:type="pct"/>
            <w:shd w:val="clear" w:color="auto" w:fill="auto"/>
            <w:vAlign w:val="center"/>
          </w:tcPr>
          <w:p w14:paraId="00D8B847">
            <w:pPr>
              <w:pStyle w:val="5"/>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rPr>
              <w:t>电池带温度报警</w:t>
            </w:r>
            <w:r>
              <w:rPr>
                <w:rFonts w:hint="eastAsia" w:ascii="宋体" w:hAnsi="宋体" w:eastAsia="宋体" w:cs="宋体"/>
                <w:color w:val="auto"/>
                <w:highlight w:val="none"/>
                <w:lang w:eastAsia="zh-CN"/>
              </w:rPr>
              <w:t>。</w:t>
            </w:r>
          </w:p>
        </w:tc>
      </w:tr>
      <w:tr w14:paraId="39B6C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86E5EEA">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D3C244B">
            <w:pPr>
              <w:jc w:val="center"/>
              <w:textAlignment w:val="center"/>
              <w:rPr>
                <w:rFonts w:hint="eastAsia" w:ascii="宋体" w:hAnsi="宋体" w:eastAsia="宋体" w:cs="宋体"/>
                <w:color w:val="auto"/>
                <w:sz w:val="20"/>
                <w:szCs w:val="20"/>
                <w:highlight w:val="none"/>
              </w:rPr>
            </w:pPr>
          </w:p>
        </w:tc>
        <w:tc>
          <w:tcPr>
            <w:tcW w:w="398" w:type="pct"/>
            <w:vMerge w:val="continue"/>
            <w:shd w:val="clear" w:color="auto" w:fill="auto"/>
            <w:vAlign w:val="center"/>
          </w:tcPr>
          <w:p w14:paraId="72410481">
            <w:pPr>
              <w:spacing w:line="360" w:lineRule="auto"/>
              <w:rPr>
                <w:rFonts w:hint="eastAsia" w:ascii="宋体" w:hAnsi="宋体" w:eastAsia="宋体" w:cs="宋体"/>
                <w:color w:val="auto"/>
                <w:spacing w:val="2"/>
                <w:highlight w:val="none"/>
                <w:lang w:eastAsia="zh-CN"/>
              </w:rPr>
            </w:pPr>
          </w:p>
        </w:tc>
        <w:tc>
          <w:tcPr>
            <w:tcW w:w="3942" w:type="pct"/>
            <w:shd w:val="clear" w:color="auto" w:fill="auto"/>
            <w:vAlign w:val="center"/>
          </w:tcPr>
          <w:p w14:paraId="274914FC">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spacing w:val="2"/>
                <w:highlight w:val="none"/>
                <w:lang w:eastAsia="zh-CN"/>
              </w:rPr>
              <w:t>具备安全保护装置：当遇到障碍物时触发报警。</w:t>
            </w:r>
          </w:p>
        </w:tc>
      </w:tr>
      <w:tr w14:paraId="68D9E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35C9967">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275D738">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2026F2F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7DCE27CD">
            <w:pPr>
              <w:spacing w:line="360" w:lineRule="auto"/>
              <w:rPr>
                <w:rFonts w:hint="eastAsia" w:ascii="宋体" w:hAnsi="宋体" w:eastAsia="宋体" w:cs="宋体"/>
                <w:color w:val="auto"/>
                <w:spacing w:val="2"/>
                <w:highlight w:val="none"/>
                <w:lang w:eastAsia="zh-CN"/>
              </w:rPr>
            </w:pPr>
            <w:r>
              <w:rPr>
                <w:rFonts w:hint="eastAsia" w:ascii="宋体" w:hAnsi="宋体" w:eastAsia="宋体" w:cs="宋体"/>
                <w:color w:val="auto"/>
                <w:highlight w:val="none"/>
                <w:lang w:eastAsia="zh-CN"/>
              </w:rPr>
              <w:t>通讯方式为：无线AP通讯等。</w:t>
            </w:r>
          </w:p>
        </w:tc>
      </w:tr>
      <w:tr w14:paraId="011A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A7EC6D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C9EB431">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11EEBC11">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F739B56">
            <w:pPr>
              <w:spacing w:line="360" w:lineRule="auto"/>
              <w:rPr>
                <w:rFonts w:hint="eastAsia" w:ascii="宋体" w:hAnsi="宋体" w:eastAsia="宋体" w:cs="宋体"/>
                <w:color w:val="auto"/>
                <w:spacing w:val="2"/>
                <w:highlight w:val="none"/>
                <w:lang w:eastAsia="zh-CN"/>
              </w:rPr>
            </w:pPr>
            <w:r>
              <w:rPr>
                <w:rFonts w:hint="eastAsia" w:ascii="宋体" w:hAnsi="宋体" w:eastAsia="宋体" w:cs="宋体"/>
                <w:color w:val="auto"/>
                <w:highlight w:val="none"/>
                <w:lang w:eastAsia="zh-CN"/>
              </w:rPr>
              <w:t>穿梭车认址方式：定位孔/二维码。</w:t>
            </w:r>
          </w:p>
        </w:tc>
      </w:tr>
      <w:tr w14:paraId="06CEE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3528E5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12B1738">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66602D5">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D267122">
            <w:pPr>
              <w:spacing w:line="360" w:lineRule="auto"/>
              <w:rPr>
                <w:rFonts w:hint="eastAsia" w:ascii="宋体" w:hAnsi="宋体" w:eastAsia="宋体" w:cs="宋体"/>
                <w:color w:val="auto"/>
                <w:spacing w:val="2"/>
                <w:highlight w:val="none"/>
                <w:lang w:eastAsia="zh-CN"/>
              </w:rPr>
            </w:pPr>
            <w:r>
              <w:rPr>
                <w:rFonts w:hint="eastAsia" w:ascii="宋体" w:hAnsi="宋体" w:eastAsia="宋体" w:cs="宋体"/>
                <w:color w:val="auto"/>
                <w:highlight w:val="none"/>
                <w:lang w:eastAsia="zh-CN"/>
              </w:rPr>
              <w:t>通讯方式为：无线AP通讯；</w:t>
            </w:r>
          </w:p>
        </w:tc>
      </w:tr>
      <w:tr w14:paraId="04C9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BD4F6F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412F0A4">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5B4296EF">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5A6A30A">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光电及检测元件优选国际一线品牌</w:t>
            </w:r>
          </w:p>
        </w:tc>
      </w:tr>
      <w:tr w14:paraId="73E5D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0542AB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7F665E5">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E818830">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2AFF8BA">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主要轴承均采用国际一线品牌</w:t>
            </w:r>
          </w:p>
        </w:tc>
      </w:tr>
      <w:tr w14:paraId="0FFD2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4B0630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DD3995A">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632F9D3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09AEBFB4">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伺服电机采用国际一线品牌</w:t>
            </w:r>
          </w:p>
        </w:tc>
      </w:tr>
      <w:tr w14:paraId="37B6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D5EA66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32296A9">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48D2244">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0FA91C2">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距轨道端头设有多种硬件保护机构（挡货、挡托盘、挡车)，且四向车水平运行驶过巷道两端会减速行驶，防止意外发生。</w:t>
            </w:r>
          </w:p>
        </w:tc>
      </w:tr>
      <w:tr w14:paraId="6223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restart"/>
            <w:shd w:val="clear" w:color="auto" w:fill="auto"/>
            <w:noWrap/>
            <w:vAlign w:val="center"/>
          </w:tcPr>
          <w:p w14:paraId="734FA828">
            <w:pPr>
              <w:jc w:val="center"/>
              <w:textAlignment w:val="center"/>
              <w:rPr>
                <w:rFonts w:hint="eastAsia" w:ascii="宋体" w:hAnsi="宋体" w:eastAsia="宋体" w:cs="宋体"/>
                <w:color w:val="auto"/>
                <w:sz w:val="20"/>
                <w:szCs w:val="20"/>
                <w:highlight w:val="none"/>
                <w:lang w:eastAsia="zh-CN" w:bidi="ar"/>
              </w:rPr>
            </w:pPr>
            <w:r>
              <w:rPr>
                <w:rFonts w:hint="eastAsia" w:ascii="宋体" w:hAnsi="宋体" w:eastAsia="宋体" w:cs="宋体"/>
                <w:color w:val="auto"/>
                <w:sz w:val="20"/>
                <w:szCs w:val="20"/>
                <w:highlight w:val="none"/>
                <w:lang w:eastAsia="zh-CN" w:bidi="ar"/>
              </w:rPr>
              <w:t>3</w:t>
            </w:r>
          </w:p>
        </w:tc>
        <w:tc>
          <w:tcPr>
            <w:tcW w:w="262" w:type="pct"/>
            <w:vMerge w:val="restart"/>
            <w:shd w:val="clear" w:color="auto" w:fill="auto"/>
            <w:vAlign w:val="center"/>
          </w:tcPr>
          <w:p w14:paraId="51F2EED5">
            <w:pPr>
              <w:jc w:val="center"/>
              <w:textAlignment w:val="center"/>
              <w:rPr>
                <w:rFonts w:hint="eastAsia" w:ascii="宋体" w:hAnsi="宋体" w:eastAsia="宋体" w:cs="宋体"/>
                <w:color w:val="auto"/>
                <w:sz w:val="20"/>
                <w:szCs w:val="20"/>
                <w:highlight w:val="none"/>
              </w:rPr>
            </w:pPr>
            <w:r>
              <w:rPr>
                <w:rFonts w:ascii="宋体" w:hAnsi="宋体" w:eastAsia="宋体" w:cs="宋体"/>
                <w:color w:val="auto"/>
                <w:sz w:val="20"/>
                <w:szCs w:val="20"/>
                <w:highlight w:val="none"/>
              </w:rPr>
              <w:t>出入库输送系统</w:t>
            </w:r>
          </w:p>
        </w:tc>
        <w:tc>
          <w:tcPr>
            <w:tcW w:w="398" w:type="pct"/>
            <w:vMerge w:val="restart"/>
            <w:shd w:val="clear" w:color="auto" w:fill="auto"/>
            <w:vAlign w:val="center"/>
          </w:tcPr>
          <w:p w14:paraId="0FA52353">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1套</w:t>
            </w:r>
          </w:p>
        </w:tc>
        <w:tc>
          <w:tcPr>
            <w:tcW w:w="3942" w:type="pct"/>
            <w:shd w:val="clear" w:color="auto" w:fill="auto"/>
            <w:vAlign w:val="center"/>
          </w:tcPr>
          <w:p w14:paraId="6FC13539">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托盘出入库系统包括托盘输送机或其它投标方认为可以满足仓库运行要求的辅助设备</w:t>
            </w:r>
            <w:r>
              <w:rPr>
                <w:rFonts w:hint="eastAsia" w:ascii="宋体" w:hAnsi="宋体" w:eastAsia="宋体" w:cs="宋体"/>
                <w:bCs/>
                <w:color w:val="auto"/>
                <w:highlight w:val="none"/>
                <w:lang w:eastAsia="zh-CN"/>
              </w:rPr>
              <w:t>；</w:t>
            </w:r>
          </w:p>
        </w:tc>
      </w:tr>
      <w:tr w14:paraId="19709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E0B4CBE">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28BD336">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E1274F3">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932B5AE">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所选设备要求适用于本URS中的托盘尺寸、材质和荷载需求，材质及生产工艺在标书中说明，性能可靠、美观大方（颜色由甲方确认）、并且便于安装和使用期间的维护保养，具备必要的安全措施，运行噪音满足环境要求，低于75分贝</w:t>
            </w:r>
            <w:r>
              <w:rPr>
                <w:rFonts w:hint="eastAsia" w:ascii="宋体" w:hAnsi="宋体" w:eastAsia="宋体" w:cs="宋体"/>
                <w:bCs/>
                <w:color w:val="auto"/>
                <w:highlight w:val="none"/>
                <w:lang w:eastAsia="zh-CN"/>
              </w:rPr>
              <w:t>；</w:t>
            </w:r>
          </w:p>
        </w:tc>
      </w:tr>
      <w:tr w14:paraId="4978F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0ACF319">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5F6CCF7">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EE42BF4">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7821F31F">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托盘输送机的方案和设备数量以招标方案为主，但不能低于招标方案中的数量。</w:t>
            </w:r>
          </w:p>
        </w:tc>
      </w:tr>
      <w:tr w14:paraId="68F8B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008B7E9">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9843A04">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29DC720C">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0B27329">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入库托盘总重不超过2080Kg,货物码放到托盘上时不得超过托盘边缘。外形尺寸检测能够切实检测到异常的情况，并有效报警，外形检测架采用铝合金材质。不符合外形要求的托盘直接退到整理工位。但外形检测时应允许一定范围内的误差；所有入库口设重量检测，重量检测不合格的，也退到整理工位，重量检测允许一定的误差。</w:t>
            </w:r>
          </w:p>
        </w:tc>
      </w:tr>
      <w:tr w14:paraId="5FD33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9CC7A39">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4799CF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AEF0010">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888B6A1">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输送机系统的PLC选用国际一线品牌</w:t>
            </w:r>
            <w:r>
              <w:rPr>
                <w:rFonts w:hint="eastAsia" w:ascii="宋体" w:hAnsi="宋体" w:eastAsia="宋体" w:cs="宋体"/>
                <w:bCs/>
                <w:color w:val="auto"/>
                <w:highlight w:val="none"/>
                <w:lang w:eastAsia="zh-CN"/>
              </w:rPr>
              <w:t>；</w:t>
            </w:r>
          </w:p>
        </w:tc>
      </w:tr>
      <w:tr w14:paraId="141FA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3E85731">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365CA2B">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50F2A8F">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309A585">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变频器等选用国际一线品牌</w:t>
            </w:r>
            <w:r>
              <w:rPr>
                <w:rFonts w:hint="eastAsia" w:ascii="宋体" w:hAnsi="宋体" w:eastAsia="宋体" w:cs="宋体"/>
                <w:bCs/>
                <w:color w:val="auto"/>
                <w:highlight w:val="none"/>
                <w:lang w:eastAsia="zh-CN"/>
              </w:rPr>
              <w:t>；</w:t>
            </w:r>
          </w:p>
        </w:tc>
      </w:tr>
      <w:tr w14:paraId="1A90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D60041D">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78A996A">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4531A91">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B2C38EB">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PLC总线控制选用国际一线品牌</w:t>
            </w:r>
            <w:r>
              <w:rPr>
                <w:rFonts w:hint="eastAsia" w:ascii="宋体" w:hAnsi="宋体" w:eastAsia="宋体" w:cs="宋体"/>
                <w:bCs/>
                <w:color w:val="auto"/>
                <w:highlight w:val="none"/>
                <w:lang w:eastAsia="zh-CN"/>
              </w:rPr>
              <w:t>；</w:t>
            </w:r>
          </w:p>
        </w:tc>
      </w:tr>
      <w:tr w14:paraId="52656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46B486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2C5383D">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AF7222D">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30B4511">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lang w:eastAsia="zh-CN"/>
              </w:rPr>
              <w:t>输送系统控制柜上要有国际一线品牌的触摸屏，可以在触摸屏上实现系统的启动和停止和控制功能。</w:t>
            </w:r>
            <w:r>
              <w:rPr>
                <w:rFonts w:hint="eastAsia" w:ascii="宋体" w:hAnsi="宋体" w:eastAsia="宋体" w:cs="宋体"/>
                <w:color w:val="auto"/>
                <w:highlight w:val="none"/>
              </w:rPr>
              <w:t>屏幕尺寸不小于10寸</w:t>
            </w:r>
            <w:r>
              <w:rPr>
                <w:rFonts w:hint="eastAsia" w:ascii="宋体" w:hAnsi="宋体" w:eastAsia="宋体" w:cs="宋体"/>
                <w:bCs/>
                <w:color w:val="auto"/>
                <w:highlight w:val="none"/>
              </w:rPr>
              <w:t>；</w:t>
            </w:r>
          </w:p>
        </w:tc>
      </w:tr>
      <w:tr w14:paraId="7BBB8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80F979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9371BC7">
            <w:pPr>
              <w:jc w:val="center"/>
              <w:textAlignment w:val="center"/>
              <w:rPr>
                <w:rFonts w:hint="eastAsia" w:ascii="宋体" w:hAnsi="宋体" w:eastAsia="宋体" w:cs="宋体"/>
                <w:color w:val="auto"/>
                <w:sz w:val="20"/>
                <w:szCs w:val="20"/>
                <w:highlight w:val="none"/>
              </w:rPr>
            </w:pPr>
          </w:p>
        </w:tc>
        <w:tc>
          <w:tcPr>
            <w:tcW w:w="398" w:type="pct"/>
            <w:vMerge w:val="continue"/>
            <w:shd w:val="clear" w:color="auto" w:fill="auto"/>
            <w:vAlign w:val="center"/>
          </w:tcPr>
          <w:p w14:paraId="59722945">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231634E">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在上位控制系统瘫痪的情况下或有需要时，可以通过触摸屏对输送系统的每台设备等进行调度和控制，也可手动实现输送系统设备的自动化运行。可以将输送系统内的某一位置的托盘自动的运输到其它指定的位置。同时可以通过触摸屏实时查看输送系统中各个设备的运行状态和报警信息等</w:t>
            </w:r>
            <w:r>
              <w:rPr>
                <w:rFonts w:hint="eastAsia" w:ascii="宋体" w:hAnsi="宋体" w:eastAsia="宋体" w:cs="宋体"/>
                <w:bCs/>
                <w:color w:val="auto"/>
                <w:highlight w:val="none"/>
                <w:lang w:eastAsia="zh-CN"/>
              </w:rPr>
              <w:t>；</w:t>
            </w:r>
          </w:p>
        </w:tc>
      </w:tr>
      <w:tr w14:paraId="4DF3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37CCB5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59192DC">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51D1531">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7CBBDBFB">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出入库输送系统的控制支持手动、单机自动和联机自动三种控制方式</w:t>
            </w:r>
            <w:r>
              <w:rPr>
                <w:rFonts w:hint="eastAsia" w:ascii="宋体" w:hAnsi="宋体" w:eastAsia="宋体" w:cs="宋体"/>
                <w:bCs/>
                <w:color w:val="auto"/>
                <w:highlight w:val="none"/>
                <w:lang w:eastAsia="zh-CN"/>
              </w:rPr>
              <w:t>；</w:t>
            </w:r>
          </w:p>
        </w:tc>
      </w:tr>
      <w:tr w14:paraId="0AB2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6E34DBB">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929AEE3">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7D76B9D6">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F271DE5">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控制柜和输送系统的必要位置要设置急停开关</w:t>
            </w:r>
            <w:r>
              <w:rPr>
                <w:rFonts w:hint="eastAsia" w:ascii="宋体" w:hAnsi="宋体" w:eastAsia="宋体" w:cs="宋体"/>
                <w:bCs/>
                <w:color w:val="auto"/>
                <w:highlight w:val="none"/>
                <w:lang w:eastAsia="zh-CN"/>
              </w:rPr>
              <w:t>；</w:t>
            </w:r>
          </w:p>
        </w:tc>
      </w:tr>
      <w:tr w14:paraId="05987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4E8062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43FAB14">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13B6762">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2992F39C">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输送系统设备有完善的检测信号，检测开关质量优良。设备的电气元件采用国际知名品牌的高品质产品</w:t>
            </w:r>
            <w:r>
              <w:rPr>
                <w:rFonts w:hint="eastAsia" w:ascii="宋体" w:hAnsi="宋体" w:eastAsia="宋体" w:cs="宋体"/>
                <w:bCs/>
                <w:color w:val="auto"/>
                <w:highlight w:val="none"/>
                <w:lang w:eastAsia="zh-CN"/>
              </w:rPr>
              <w:t>；</w:t>
            </w:r>
          </w:p>
        </w:tc>
      </w:tr>
      <w:tr w14:paraId="4E01C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60977A2">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43F5FF5">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5652599D">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3E513F9A">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系统安全措施到位，设备周围要有必要的保护装置，完善的连锁保护装置，可有效制止破坏设备或货物的动作发生</w:t>
            </w:r>
            <w:r>
              <w:rPr>
                <w:rFonts w:hint="eastAsia" w:ascii="宋体" w:hAnsi="宋体" w:eastAsia="宋体" w:cs="宋体"/>
                <w:bCs/>
                <w:color w:val="auto"/>
                <w:highlight w:val="none"/>
                <w:lang w:eastAsia="zh-CN"/>
              </w:rPr>
              <w:t>；</w:t>
            </w:r>
          </w:p>
        </w:tc>
      </w:tr>
      <w:tr w14:paraId="1DB76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5F0097D">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4A8BF20">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99891A0">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8B909BC">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每个整托盘出库口上方均采用电子显示屏LED显示出库的信息，包括品种、批次、数量、订单、去向等信息</w:t>
            </w:r>
            <w:r>
              <w:rPr>
                <w:rFonts w:hint="eastAsia" w:ascii="宋体" w:hAnsi="宋体" w:eastAsia="宋体" w:cs="宋体"/>
                <w:bCs/>
                <w:color w:val="auto"/>
                <w:highlight w:val="none"/>
                <w:lang w:eastAsia="zh-CN"/>
              </w:rPr>
              <w:t>；</w:t>
            </w:r>
          </w:p>
        </w:tc>
      </w:tr>
      <w:tr w14:paraId="798CA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0D21573">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68DB15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653B38E">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74DA661F">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电缆采用国内、外知名品牌产品。触摸屏全部用选用国际一线品牌产品。按钮，指示灯选用选用国际一线品牌产品；</w:t>
            </w:r>
          </w:p>
        </w:tc>
      </w:tr>
      <w:tr w14:paraId="36066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2F94E92">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5147F3CE">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0CED27A2">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50610B96">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输送机的关键电气设备应选用国际一线品牌</w:t>
            </w:r>
            <w:r>
              <w:rPr>
                <w:rFonts w:hint="eastAsia" w:ascii="宋体" w:hAnsi="宋体" w:eastAsia="宋体" w:cs="宋体"/>
                <w:bCs/>
                <w:color w:val="auto"/>
                <w:highlight w:val="none"/>
                <w:lang w:eastAsia="zh-CN"/>
              </w:rPr>
              <w:t>；</w:t>
            </w:r>
          </w:p>
        </w:tc>
      </w:tr>
      <w:tr w14:paraId="2F054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F8EC953">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3CE3239">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3CAE3000">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6869699B">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lang w:eastAsia="zh-CN"/>
              </w:rPr>
              <w:t>出入库输送系统可满载启动，启动时无明显爬行、脉动现象。设备运行平稳可靠、无异响、无脉冲式跳动。整机启、停平稳、无打滑、撞击现象</w:t>
            </w:r>
            <w:r>
              <w:rPr>
                <w:rFonts w:hint="eastAsia" w:ascii="宋体" w:hAnsi="宋体" w:eastAsia="宋体" w:cs="宋体"/>
                <w:bCs/>
                <w:color w:val="auto"/>
                <w:highlight w:val="none"/>
                <w:lang w:eastAsia="zh-CN"/>
              </w:rPr>
              <w:t>。</w:t>
            </w:r>
            <w:r>
              <w:rPr>
                <w:rFonts w:hint="eastAsia" w:ascii="宋体" w:hAnsi="宋体" w:eastAsia="宋体" w:cs="宋体"/>
                <w:bCs/>
                <w:color w:val="auto"/>
                <w:highlight w:val="none"/>
              </w:rPr>
              <w:t>需要变频控制；</w:t>
            </w:r>
          </w:p>
        </w:tc>
      </w:tr>
      <w:tr w14:paraId="0DFFC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7CCE8B2">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B07F060">
            <w:pPr>
              <w:jc w:val="center"/>
              <w:textAlignment w:val="center"/>
              <w:rPr>
                <w:rFonts w:hint="eastAsia" w:ascii="宋体" w:hAnsi="宋体" w:eastAsia="宋体" w:cs="宋体"/>
                <w:color w:val="auto"/>
                <w:sz w:val="20"/>
                <w:szCs w:val="20"/>
                <w:highlight w:val="none"/>
              </w:rPr>
            </w:pPr>
          </w:p>
        </w:tc>
        <w:tc>
          <w:tcPr>
            <w:tcW w:w="398" w:type="pct"/>
            <w:vMerge w:val="continue"/>
            <w:shd w:val="clear" w:color="auto" w:fill="auto"/>
            <w:vAlign w:val="center"/>
          </w:tcPr>
          <w:p w14:paraId="43EEA62D">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A9D4228">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空托盘回库/剩余物料回库：空托盘回库/剩余物料回库时，需进行尺寸检测、条码扫描，异常时需有声光报警功能</w:t>
            </w:r>
            <w:r>
              <w:rPr>
                <w:rFonts w:hint="eastAsia" w:ascii="宋体" w:hAnsi="宋体" w:eastAsia="宋体" w:cs="宋体"/>
                <w:bCs/>
                <w:color w:val="auto"/>
                <w:highlight w:val="none"/>
                <w:lang w:eastAsia="zh-CN"/>
              </w:rPr>
              <w:t>；</w:t>
            </w:r>
          </w:p>
        </w:tc>
      </w:tr>
      <w:tr w14:paraId="456D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80011AA">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5B26001">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6DB56CA7">
            <w:pPr>
              <w:spacing w:line="360" w:lineRule="auto"/>
              <w:rPr>
                <w:rFonts w:hint="eastAsia" w:ascii="宋体" w:hAnsi="宋体" w:eastAsia="宋体" w:cs="宋体"/>
                <w:color w:val="auto"/>
                <w:highlight w:val="none"/>
                <w:lang w:eastAsia="zh-CN"/>
              </w:rPr>
            </w:pPr>
          </w:p>
        </w:tc>
        <w:tc>
          <w:tcPr>
            <w:tcW w:w="3942" w:type="pct"/>
            <w:shd w:val="clear" w:color="auto" w:fill="auto"/>
            <w:vAlign w:val="center"/>
          </w:tcPr>
          <w:p w14:paraId="4719D783">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提升机和库前输送连接处必须设置防止四向车坠落进提升机硬限位装置。</w:t>
            </w:r>
          </w:p>
        </w:tc>
      </w:tr>
      <w:tr w14:paraId="79F86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restart"/>
            <w:shd w:val="clear" w:color="auto" w:fill="auto"/>
            <w:noWrap/>
            <w:vAlign w:val="center"/>
          </w:tcPr>
          <w:p w14:paraId="168FFE63">
            <w:pPr>
              <w:jc w:val="center"/>
              <w:textAlignment w:val="center"/>
              <w:rPr>
                <w:rFonts w:hint="eastAsia" w:ascii="宋体" w:hAnsi="宋体" w:eastAsia="宋体" w:cs="宋体"/>
                <w:color w:val="auto"/>
                <w:sz w:val="20"/>
                <w:szCs w:val="20"/>
                <w:highlight w:val="none"/>
                <w:lang w:eastAsia="zh-CN" w:bidi="ar"/>
              </w:rPr>
            </w:pPr>
            <w:r>
              <w:rPr>
                <w:rFonts w:hint="eastAsia" w:ascii="宋体" w:hAnsi="宋体" w:eastAsia="宋体" w:cs="宋体"/>
                <w:color w:val="auto"/>
                <w:sz w:val="20"/>
                <w:szCs w:val="20"/>
                <w:highlight w:val="none"/>
                <w:lang w:eastAsia="zh-CN" w:bidi="ar"/>
              </w:rPr>
              <w:t>4</w:t>
            </w:r>
          </w:p>
        </w:tc>
        <w:tc>
          <w:tcPr>
            <w:tcW w:w="262" w:type="pct"/>
            <w:vMerge w:val="restart"/>
            <w:shd w:val="clear" w:color="auto" w:fill="auto"/>
            <w:vAlign w:val="center"/>
          </w:tcPr>
          <w:p w14:paraId="2D1EE519">
            <w:pPr>
              <w:jc w:val="center"/>
              <w:textAlignment w:val="center"/>
              <w:rPr>
                <w:rFonts w:hint="eastAsia" w:ascii="宋体" w:hAnsi="宋体" w:eastAsia="宋体" w:cs="宋体"/>
                <w:color w:val="auto"/>
                <w:sz w:val="20"/>
                <w:szCs w:val="20"/>
                <w:highlight w:val="none"/>
              </w:rPr>
            </w:pPr>
            <w:r>
              <w:rPr>
                <w:rFonts w:ascii="宋体" w:hAnsi="宋体" w:eastAsia="宋体" w:cs="宋体"/>
                <w:color w:val="auto"/>
                <w:sz w:val="20"/>
                <w:szCs w:val="20"/>
                <w:highlight w:val="none"/>
              </w:rPr>
              <w:t>计算机管理系统</w:t>
            </w:r>
          </w:p>
        </w:tc>
        <w:tc>
          <w:tcPr>
            <w:tcW w:w="398" w:type="pct"/>
            <w:vMerge w:val="restart"/>
            <w:shd w:val="clear" w:color="auto" w:fill="auto"/>
            <w:vAlign w:val="center"/>
          </w:tcPr>
          <w:p w14:paraId="27073478">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1套</w:t>
            </w:r>
          </w:p>
        </w:tc>
        <w:tc>
          <w:tcPr>
            <w:tcW w:w="3942" w:type="pct"/>
            <w:shd w:val="clear" w:color="auto" w:fill="auto"/>
            <w:vAlign w:val="center"/>
          </w:tcPr>
          <w:p w14:paraId="1547AE5A">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lang w:val="en-AU" w:eastAsia="zh-CN"/>
              </w:rPr>
              <w:t>包括</w:t>
            </w:r>
            <w:r>
              <w:rPr>
                <w:rFonts w:hint="eastAsia" w:ascii="宋体" w:hAnsi="宋体" w:eastAsia="宋体" w:cs="宋体"/>
                <w:color w:val="auto"/>
                <w:highlight w:val="none"/>
                <w:lang w:eastAsia="zh-CN"/>
              </w:rPr>
              <w:t>仓库管理系统（WMS)）</w:t>
            </w:r>
            <w:r>
              <w:rPr>
                <w:rFonts w:hint="eastAsia" w:ascii="宋体" w:hAnsi="宋体" w:eastAsia="宋体" w:cs="宋体"/>
                <w:color w:val="auto"/>
                <w:highlight w:val="none"/>
                <w:lang w:val="en-AU" w:eastAsia="zh-CN"/>
              </w:rPr>
              <w:t>设备控制系统（WCS）以及</w:t>
            </w:r>
            <w:r>
              <w:rPr>
                <w:rFonts w:hint="eastAsia" w:ascii="宋体" w:hAnsi="宋体" w:eastAsia="宋体" w:cs="宋体"/>
                <w:color w:val="auto"/>
                <w:highlight w:val="none"/>
                <w:lang w:eastAsia="zh-CN"/>
              </w:rPr>
              <w:t>WMS、</w:t>
            </w:r>
            <w:r>
              <w:rPr>
                <w:rFonts w:hint="eastAsia" w:ascii="宋体" w:hAnsi="宋体" w:eastAsia="宋体" w:cs="宋体"/>
                <w:color w:val="auto"/>
                <w:highlight w:val="none"/>
                <w:lang w:val="en-AU" w:eastAsia="zh-CN"/>
              </w:rPr>
              <w:t>WCS系统计算机和系统软件。投标人须具有WMS、WCS软件的自主知识产权证书。</w:t>
            </w:r>
            <w:r>
              <w:rPr>
                <w:rFonts w:hint="eastAsia" w:ascii="宋体" w:hAnsi="宋体" w:eastAsia="宋体" w:cs="宋体"/>
                <w:color w:val="auto"/>
                <w:highlight w:val="none"/>
                <w:lang w:val="en-AU"/>
              </w:rPr>
              <w:t>需提供软件著作权证书。</w:t>
            </w:r>
          </w:p>
        </w:tc>
      </w:tr>
      <w:tr w14:paraId="4EC97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9211B68">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62542AB">
            <w:pPr>
              <w:jc w:val="center"/>
              <w:textAlignment w:val="center"/>
              <w:rPr>
                <w:rFonts w:hint="eastAsia" w:ascii="宋体" w:hAnsi="宋体" w:eastAsia="宋体" w:cs="宋体"/>
                <w:color w:val="auto"/>
                <w:sz w:val="20"/>
                <w:szCs w:val="20"/>
                <w:highlight w:val="none"/>
              </w:rPr>
            </w:pPr>
          </w:p>
        </w:tc>
        <w:tc>
          <w:tcPr>
            <w:tcW w:w="398" w:type="pct"/>
            <w:vMerge w:val="continue"/>
            <w:shd w:val="clear" w:color="auto" w:fill="auto"/>
            <w:vAlign w:val="center"/>
          </w:tcPr>
          <w:p w14:paraId="05CA8A7C">
            <w:pPr>
              <w:spacing w:line="360" w:lineRule="auto"/>
              <w:rPr>
                <w:rFonts w:hint="eastAsia" w:ascii="宋体" w:hAnsi="宋体" w:eastAsia="宋体" w:cs="宋体"/>
                <w:color w:val="auto"/>
                <w:highlight w:val="none"/>
              </w:rPr>
            </w:pPr>
          </w:p>
        </w:tc>
        <w:tc>
          <w:tcPr>
            <w:tcW w:w="3942" w:type="pct"/>
            <w:shd w:val="clear" w:color="auto" w:fill="auto"/>
            <w:vAlign w:val="center"/>
          </w:tcPr>
          <w:p w14:paraId="2E7B6474">
            <w:pPr>
              <w:spacing w:line="360" w:lineRule="auto"/>
              <w:rPr>
                <w:rFonts w:hint="eastAsia" w:ascii="宋体" w:hAnsi="宋体" w:eastAsia="宋体" w:cs="宋体"/>
                <w:color w:val="auto"/>
                <w:highlight w:val="none"/>
                <w:lang w:val="en-AU"/>
              </w:rPr>
            </w:pPr>
            <w:r>
              <w:rPr>
                <w:rFonts w:hint="eastAsia" w:ascii="宋体" w:hAnsi="宋体" w:eastAsia="宋体" w:cs="宋体"/>
                <w:color w:val="auto"/>
                <w:highlight w:val="none"/>
              </w:rPr>
              <w:t>WMS、</w:t>
            </w:r>
            <w:r>
              <w:rPr>
                <w:rFonts w:hint="eastAsia" w:ascii="宋体" w:hAnsi="宋体" w:eastAsia="宋体" w:cs="宋体"/>
                <w:color w:val="auto"/>
                <w:highlight w:val="none"/>
                <w:lang w:val="en-AU"/>
              </w:rPr>
              <w:t>WCS均采用多层体系架构；WMS、WCS支持微服务架构，支持d</w:t>
            </w:r>
            <w:r>
              <w:rPr>
                <w:rFonts w:ascii="宋体" w:hAnsi="宋体" w:eastAsia="宋体" w:cs="宋体"/>
                <w:color w:val="auto"/>
                <w:highlight w:val="none"/>
                <w:lang w:val="en-AU"/>
              </w:rPr>
              <w:t>ocker</w:t>
            </w:r>
            <w:r>
              <w:rPr>
                <w:rFonts w:hint="eastAsia" w:ascii="宋体" w:hAnsi="宋体" w:eastAsia="宋体" w:cs="宋体"/>
                <w:color w:val="auto"/>
                <w:highlight w:val="none"/>
                <w:lang w:val="en-AU"/>
              </w:rPr>
              <w:t>部署。</w:t>
            </w:r>
          </w:p>
        </w:tc>
      </w:tr>
      <w:tr w14:paraId="4B52D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0F997A8">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23BD56F">
            <w:pPr>
              <w:jc w:val="center"/>
              <w:textAlignment w:val="center"/>
              <w:rPr>
                <w:rFonts w:hint="eastAsia" w:ascii="宋体" w:hAnsi="宋体" w:eastAsia="宋体" w:cs="宋体"/>
                <w:color w:val="auto"/>
                <w:sz w:val="20"/>
                <w:szCs w:val="20"/>
                <w:highlight w:val="none"/>
              </w:rPr>
            </w:pPr>
          </w:p>
        </w:tc>
        <w:tc>
          <w:tcPr>
            <w:tcW w:w="398" w:type="pct"/>
            <w:vMerge w:val="continue"/>
            <w:shd w:val="clear" w:color="auto" w:fill="auto"/>
            <w:vAlign w:val="center"/>
          </w:tcPr>
          <w:p w14:paraId="444062B7">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6C77CF26">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弱电及无线网络设计：集成商在中标后需提供本次招标范围内自动化设备相关的详细的弱电及无线需求。</w:t>
            </w:r>
          </w:p>
        </w:tc>
      </w:tr>
      <w:tr w14:paraId="6BE3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51FDB5F">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22FA75F">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5F0EB899">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2934DBE1">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立库前端出入库口显示屏由集成商根据自己的方案和系统需求统一采购，便于实时显示出入库信息；</w:t>
            </w:r>
          </w:p>
        </w:tc>
      </w:tr>
      <w:tr w14:paraId="742C9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24871BB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6E3EA407">
            <w:pPr>
              <w:jc w:val="center"/>
              <w:textAlignment w:val="center"/>
              <w:rPr>
                <w:rFonts w:hint="eastAsia" w:ascii="宋体" w:hAnsi="宋体" w:eastAsia="宋体" w:cs="宋体"/>
                <w:color w:val="auto"/>
                <w:sz w:val="20"/>
                <w:szCs w:val="20"/>
                <w:highlight w:val="none"/>
                <w:lang w:eastAsia="zh-CN"/>
              </w:rPr>
            </w:pPr>
          </w:p>
        </w:tc>
        <w:tc>
          <w:tcPr>
            <w:tcW w:w="398" w:type="pct"/>
            <w:vMerge w:val="continue"/>
            <w:shd w:val="clear" w:color="auto" w:fill="auto"/>
            <w:vAlign w:val="center"/>
          </w:tcPr>
          <w:p w14:paraId="44E61165">
            <w:pPr>
              <w:textAlignment w:val="center"/>
              <w:rPr>
                <w:rFonts w:hint="eastAsia" w:ascii="宋体" w:hAnsi="宋体" w:eastAsia="宋体" w:cs="宋体"/>
                <w:color w:val="auto"/>
                <w:sz w:val="20"/>
                <w:szCs w:val="20"/>
                <w:highlight w:val="none"/>
                <w:lang w:eastAsia="zh-CN"/>
              </w:rPr>
            </w:pPr>
          </w:p>
        </w:tc>
        <w:tc>
          <w:tcPr>
            <w:tcW w:w="3942" w:type="pct"/>
            <w:shd w:val="clear" w:color="auto" w:fill="auto"/>
            <w:vAlign w:val="center"/>
          </w:tcPr>
          <w:tbl>
            <w:tblPr>
              <w:tblStyle w:val="11"/>
              <w:tblW w:w="5799" w:type="dxa"/>
              <w:tblInd w:w="0" w:type="dxa"/>
              <w:tblLayout w:type="autofit"/>
              <w:tblCellMar>
                <w:top w:w="0" w:type="dxa"/>
                <w:left w:w="108" w:type="dxa"/>
                <w:bottom w:w="0" w:type="dxa"/>
                <w:right w:w="108" w:type="dxa"/>
              </w:tblCellMar>
            </w:tblPr>
            <w:tblGrid>
              <w:gridCol w:w="478"/>
              <w:gridCol w:w="734"/>
              <w:gridCol w:w="972"/>
              <w:gridCol w:w="3615"/>
            </w:tblGrid>
            <w:tr w14:paraId="6A0AC9AD">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74278000">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序号</w:t>
                  </w:r>
                </w:p>
              </w:tc>
              <w:tc>
                <w:tcPr>
                  <w:tcW w:w="633"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2A6669BA">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一级功能菜单</w:t>
                  </w:r>
                </w:p>
              </w:tc>
              <w:tc>
                <w:tcPr>
                  <w:tcW w:w="838"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35F2C370">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二级功能菜单</w:t>
                  </w:r>
                </w:p>
              </w:tc>
              <w:tc>
                <w:tcPr>
                  <w:tcW w:w="3115"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3D406260">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功能说明</w:t>
                  </w:r>
                </w:p>
              </w:tc>
            </w:tr>
            <w:tr w14:paraId="6A894494">
              <w:tblPrEx>
                <w:tblCellMar>
                  <w:top w:w="0" w:type="dxa"/>
                  <w:left w:w="108" w:type="dxa"/>
                  <w:bottom w:w="0" w:type="dxa"/>
                  <w:right w:w="108" w:type="dxa"/>
                </w:tblCellMar>
              </w:tblPrEx>
              <w:trPr>
                <w:trHeight w:val="315"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DDEBF7"/>
                  <w:vAlign w:val="center"/>
                </w:tcPr>
                <w:p w14:paraId="3AE7D2A8">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WMS功能</w:t>
                  </w:r>
                </w:p>
              </w:tc>
            </w:tr>
            <w:tr w14:paraId="0AEEBACD">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2F18E1E5">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w:t>
                  </w:r>
                </w:p>
              </w:tc>
              <w:tc>
                <w:tcPr>
                  <w:tcW w:w="633" w:type="pct"/>
                  <w:tcBorders>
                    <w:top w:val="single" w:color="000000" w:sz="4" w:space="0"/>
                    <w:left w:val="single" w:color="000000" w:sz="4" w:space="0"/>
                    <w:bottom w:val="single" w:color="000000" w:sz="4" w:space="0"/>
                    <w:right w:val="single" w:color="000000" w:sz="4" w:space="0"/>
                  </w:tcBorders>
                  <w:vAlign w:val="center"/>
                </w:tcPr>
                <w:p w14:paraId="689ED8E5">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首页</w:t>
                  </w:r>
                </w:p>
              </w:tc>
              <w:tc>
                <w:tcPr>
                  <w:tcW w:w="838" w:type="pct"/>
                  <w:tcBorders>
                    <w:top w:val="single" w:color="000000" w:sz="4" w:space="0"/>
                    <w:left w:val="single" w:color="000000" w:sz="4" w:space="0"/>
                    <w:bottom w:val="single" w:color="000000" w:sz="4" w:space="0"/>
                    <w:right w:val="single" w:color="000000" w:sz="4" w:space="0"/>
                  </w:tcBorders>
                  <w:vAlign w:val="center"/>
                </w:tcPr>
                <w:p w14:paraId="30F3A6B4">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首页</w:t>
                  </w:r>
                </w:p>
              </w:tc>
              <w:tc>
                <w:tcPr>
                  <w:tcW w:w="3115" w:type="pct"/>
                  <w:tcBorders>
                    <w:top w:val="single" w:color="000000" w:sz="4" w:space="0"/>
                    <w:left w:val="single" w:color="000000" w:sz="4" w:space="0"/>
                    <w:bottom w:val="single" w:color="000000" w:sz="4" w:space="0"/>
                    <w:right w:val="single" w:color="000000" w:sz="4" w:space="0"/>
                  </w:tcBorders>
                  <w:vAlign w:val="center"/>
                </w:tcPr>
                <w:p w14:paraId="0E4F153F">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支持关键信息图表展示，包括当天/当月任务统计，当天待做事项统计，告警提醒等。</w:t>
                  </w:r>
                </w:p>
              </w:tc>
            </w:tr>
            <w:tr w14:paraId="373C1E4C">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038104B2">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079DD950">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主数据管理</w:t>
                  </w:r>
                </w:p>
              </w:tc>
              <w:tc>
                <w:tcPr>
                  <w:tcW w:w="838" w:type="pct"/>
                  <w:tcBorders>
                    <w:top w:val="single" w:color="000000" w:sz="4" w:space="0"/>
                    <w:left w:val="single" w:color="000000" w:sz="4" w:space="0"/>
                    <w:bottom w:val="single" w:color="000000" w:sz="4" w:space="0"/>
                    <w:right w:val="single" w:color="000000" w:sz="4" w:space="0"/>
                  </w:tcBorders>
                  <w:vAlign w:val="center"/>
                </w:tcPr>
                <w:p w14:paraId="4DA691D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仓库</w:t>
                  </w:r>
                </w:p>
              </w:tc>
              <w:tc>
                <w:tcPr>
                  <w:tcW w:w="3115" w:type="pct"/>
                  <w:tcBorders>
                    <w:top w:val="single" w:color="000000" w:sz="4" w:space="0"/>
                    <w:left w:val="single" w:color="000000" w:sz="4" w:space="0"/>
                    <w:bottom w:val="single" w:color="000000" w:sz="4" w:space="0"/>
                    <w:right w:val="single" w:color="000000" w:sz="4" w:space="0"/>
                  </w:tcBorders>
                  <w:vAlign w:val="center"/>
                </w:tcPr>
                <w:p w14:paraId="0A353B99">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支持仓库基础信息的维护</w:t>
                  </w:r>
                </w:p>
              </w:tc>
            </w:tr>
            <w:tr w14:paraId="10D97F1E">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1863088D">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3</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2A4BD2E1">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39E5CA6B">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库区</w:t>
                  </w:r>
                </w:p>
              </w:tc>
              <w:tc>
                <w:tcPr>
                  <w:tcW w:w="3115" w:type="pct"/>
                  <w:tcBorders>
                    <w:top w:val="single" w:color="000000" w:sz="4" w:space="0"/>
                    <w:left w:val="single" w:color="000000" w:sz="4" w:space="0"/>
                    <w:bottom w:val="single" w:color="000000" w:sz="4" w:space="0"/>
                    <w:right w:val="single" w:color="000000" w:sz="4" w:space="0"/>
                  </w:tcBorders>
                  <w:vAlign w:val="center"/>
                </w:tcPr>
                <w:p w14:paraId="3F934C0E">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支持对现场规划布局的库区等基础信息的维护</w:t>
                  </w:r>
                </w:p>
              </w:tc>
            </w:tr>
            <w:tr w14:paraId="64FAA573">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02EE6710">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4</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0EF47707">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5387137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库位</w:t>
                  </w:r>
                </w:p>
              </w:tc>
              <w:tc>
                <w:tcPr>
                  <w:tcW w:w="3115" w:type="pct"/>
                  <w:tcBorders>
                    <w:top w:val="single" w:color="000000" w:sz="4" w:space="0"/>
                    <w:left w:val="single" w:color="000000" w:sz="4" w:space="0"/>
                    <w:bottom w:val="single" w:color="000000" w:sz="4" w:space="0"/>
                    <w:right w:val="single" w:color="000000" w:sz="4" w:space="0"/>
                  </w:tcBorders>
                  <w:vAlign w:val="center"/>
                </w:tcPr>
                <w:p w14:paraId="0001ED56">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支持对现场规划布局的库位等基础信息的维护</w:t>
                  </w:r>
                </w:p>
              </w:tc>
            </w:tr>
            <w:tr w14:paraId="2B3E5392">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7EAA293B">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5</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60FCBF2F">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5B3F4690">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物料类型</w:t>
                  </w:r>
                </w:p>
              </w:tc>
              <w:tc>
                <w:tcPr>
                  <w:tcW w:w="3115" w:type="pct"/>
                  <w:tcBorders>
                    <w:top w:val="single" w:color="000000" w:sz="4" w:space="0"/>
                    <w:left w:val="single" w:color="000000" w:sz="4" w:space="0"/>
                    <w:bottom w:val="single" w:color="000000" w:sz="4" w:space="0"/>
                    <w:right w:val="single" w:color="000000" w:sz="4" w:space="0"/>
                  </w:tcBorders>
                  <w:vAlign w:val="center"/>
                </w:tcPr>
                <w:p w14:paraId="2582F002">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支持创建/接收上游系统下传的物料类型基础资料</w:t>
                  </w:r>
                </w:p>
              </w:tc>
            </w:tr>
            <w:tr w14:paraId="053820FD">
              <w:tblPrEx>
                <w:tblCellMar>
                  <w:top w:w="0" w:type="dxa"/>
                  <w:left w:w="108" w:type="dxa"/>
                  <w:bottom w:w="0" w:type="dxa"/>
                  <w:right w:w="108" w:type="dxa"/>
                </w:tblCellMar>
              </w:tblPrEx>
              <w:trPr>
                <w:trHeight w:val="510"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1118CF86">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6</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7FDE0617">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039CAC5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物料</w:t>
                  </w:r>
                </w:p>
              </w:tc>
              <w:tc>
                <w:tcPr>
                  <w:tcW w:w="3115" w:type="pct"/>
                  <w:tcBorders>
                    <w:top w:val="single" w:color="000000" w:sz="4" w:space="0"/>
                    <w:left w:val="single" w:color="000000" w:sz="4" w:space="0"/>
                    <w:bottom w:val="single" w:color="000000" w:sz="4" w:space="0"/>
                    <w:right w:val="single" w:color="000000" w:sz="4" w:space="0"/>
                  </w:tcBorders>
                  <w:vAlign w:val="center"/>
                </w:tcPr>
                <w:p w14:paraId="2C8BAB52">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支持创建/接收上游系统下传的物料基础资料，支持对物料大类、存储条件、条码等的维护</w:t>
                  </w:r>
                </w:p>
              </w:tc>
            </w:tr>
            <w:tr w14:paraId="32728711">
              <w:tblPrEx>
                <w:tblCellMar>
                  <w:top w:w="0" w:type="dxa"/>
                  <w:left w:w="108" w:type="dxa"/>
                  <w:bottom w:w="0" w:type="dxa"/>
                  <w:right w:w="108" w:type="dxa"/>
                </w:tblCellMar>
              </w:tblPrEx>
              <w:trPr>
                <w:trHeight w:val="90"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5556463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7</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69D10160">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122EA5B5">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容器</w:t>
                  </w:r>
                </w:p>
              </w:tc>
              <w:tc>
                <w:tcPr>
                  <w:tcW w:w="3115" w:type="pct"/>
                  <w:tcBorders>
                    <w:top w:val="single" w:color="000000" w:sz="4" w:space="0"/>
                    <w:left w:val="single" w:color="000000" w:sz="4" w:space="0"/>
                    <w:bottom w:val="single" w:color="000000" w:sz="4" w:space="0"/>
                    <w:right w:val="single" w:color="000000" w:sz="4" w:space="0"/>
                  </w:tcBorders>
                  <w:vAlign w:val="center"/>
                </w:tcPr>
                <w:p w14:paraId="2297BE76">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支持托盘/料箱等容器资料的维护，查询</w:t>
                  </w:r>
                </w:p>
              </w:tc>
            </w:tr>
            <w:tr w14:paraId="3BC4C001">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6EB4549D">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8</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171F0924">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1CAE7888">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单据</w:t>
                  </w:r>
                </w:p>
              </w:tc>
              <w:tc>
                <w:tcPr>
                  <w:tcW w:w="3115" w:type="pct"/>
                  <w:tcBorders>
                    <w:top w:val="single" w:color="000000" w:sz="4" w:space="0"/>
                    <w:left w:val="single" w:color="000000" w:sz="4" w:space="0"/>
                    <w:bottom w:val="single" w:color="000000" w:sz="4" w:space="0"/>
                    <w:right w:val="single" w:color="000000" w:sz="4" w:space="0"/>
                  </w:tcBorders>
                  <w:vAlign w:val="center"/>
                </w:tcPr>
                <w:p w14:paraId="6C52B3B3">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支持单据号、批次号等生成规则管理</w:t>
                  </w:r>
                </w:p>
              </w:tc>
            </w:tr>
            <w:tr w14:paraId="1CC8AFBE">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0606C873">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9</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4D448E56">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业务规则</w:t>
                  </w:r>
                </w:p>
              </w:tc>
              <w:tc>
                <w:tcPr>
                  <w:tcW w:w="838" w:type="pct"/>
                  <w:tcBorders>
                    <w:top w:val="single" w:color="000000" w:sz="4" w:space="0"/>
                    <w:left w:val="single" w:color="000000" w:sz="4" w:space="0"/>
                    <w:bottom w:val="single" w:color="000000" w:sz="4" w:space="0"/>
                    <w:right w:val="single" w:color="000000" w:sz="4" w:space="0"/>
                  </w:tcBorders>
                  <w:vAlign w:val="center"/>
                </w:tcPr>
                <w:p w14:paraId="5A1559AC">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包装管理</w:t>
                  </w:r>
                </w:p>
              </w:tc>
              <w:tc>
                <w:tcPr>
                  <w:tcW w:w="3115" w:type="pct"/>
                  <w:tcBorders>
                    <w:top w:val="single" w:color="000000" w:sz="4" w:space="0"/>
                    <w:left w:val="single" w:color="000000" w:sz="4" w:space="0"/>
                    <w:bottom w:val="single" w:color="000000" w:sz="4" w:space="0"/>
                    <w:right w:val="single" w:color="000000" w:sz="4" w:space="0"/>
                  </w:tcBorders>
                  <w:vAlign w:val="center"/>
                </w:tcPr>
                <w:p w14:paraId="001E12ED">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包括托盘管理、码盘查询功能</w:t>
                  </w:r>
                </w:p>
              </w:tc>
            </w:tr>
            <w:tr w14:paraId="0078D10A">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5A0AD4DB">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10</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6C94ACB3">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B2326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批属性管理</w:t>
                  </w:r>
                </w:p>
              </w:tc>
              <w:tc>
                <w:tcPr>
                  <w:tcW w:w="31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543AE0C">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支持批属性的配置维护，查询</w:t>
                  </w:r>
                </w:p>
              </w:tc>
            </w:tr>
            <w:tr w14:paraId="712F9C6E">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35F81578">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11</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095C7636">
                  <w:pPr>
                    <w:jc w:val="center"/>
                    <w:rPr>
                      <w:rFonts w:hint="eastAsia" w:ascii="宋体" w:hAnsi="宋体" w:eastAsia="宋体" w:cs="宋体"/>
                      <w:b/>
                      <w:bCs/>
                      <w:color w:val="auto"/>
                      <w:sz w:val="18"/>
                      <w:szCs w:val="18"/>
                      <w:highlight w:val="none"/>
                    </w:rPr>
                  </w:pPr>
                </w:p>
              </w:tc>
              <w:tc>
                <w:tcPr>
                  <w:tcW w:w="838" w:type="pct"/>
                  <w:vMerge w:val="restart"/>
                  <w:tcBorders>
                    <w:top w:val="single" w:color="000000" w:sz="4" w:space="0"/>
                    <w:left w:val="single" w:color="000000" w:sz="4" w:space="0"/>
                    <w:bottom w:val="single" w:color="000000" w:sz="4" w:space="0"/>
                    <w:right w:val="single" w:color="000000" w:sz="4" w:space="0"/>
                  </w:tcBorders>
                  <w:vAlign w:val="center"/>
                </w:tcPr>
                <w:p w14:paraId="3B2FBDD9">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策略管理</w:t>
                  </w:r>
                </w:p>
              </w:tc>
              <w:tc>
                <w:tcPr>
                  <w:tcW w:w="3115" w:type="pct"/>
                  <w:tcBorders>
                    <w:top w:val="single" w:color="000000" w:sz="4" w:space="0"/>
                    <w:left w:val="single" w:color="000000" w:sz="4" w:space="0"/>
                    <w:bottom w:val="single" w:color="000000" w:sz="4" w:space="0"/>
                    <w:right w:val="single" w:color="000000" w:sz="4" w:space="0"/>
                  </w:tcBorders>
                  <w:vAlign w:val="center"/>
                </w:tcPr>
                <w:p w14:paraId="31930B9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入库上架策略</w:t>
                  </w:r>
                </w:p>
              </w:tc>
            </w:tr>
            <w:tr w14:paraId="0949E048">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4A91113C">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12</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3A4F0C94">
                  <w:pPr>
                    <w:jc w:val="center"/>
                    <w:rPr>
                      <w:rFonts w:hint="eastAsia" w:ascii="宋体" w:hAnsi="宋体" w:eastAsia="宋体" w:cs="宋体"/>
                      <w:b/>
                      <w:bCs/>
                      <w:color w:val="auto"/>
                      <w:sz w:val="18"/>
                      <w:szCs w:val="18"/>
                      <w:highlight w:val="none"/>
                    </w:rPr>
                  </w:pPr>
                </w:p>
              </w:tc>
              <w:tc>
                <w:tcPr>
                  <w:tcW w:w="838" w:type="pct"/>
                  <w:vMerge w:val="continue"/>
                  <w:tcBorders>
                    <w:top w:val="single" w:color="000000" w:sz="4" w:space="0"/>
                    <w:left w:val="single" w:color="000000" w:sz="4" w:space="0"/>
                    <w:bottom w:val="single" w:color="000000" w:sz="4" w:space="0"/>
                    <w:right w:val="single" w:color="000000" w:sz="4" w:space="0"/>
                  </w:tcBorders>
                  <w:vAlign w:val="center"/>
                </w:tcPr>
                <w:p w14:paraId="05A2652F">
                  <w:pPr>
                    <w:rPr>
                      <w:rFonts w:hint="eastAsia" w:ascii="宋体" w:hAnsi="宋体" w:eastAsia="宋体" w:cs="宋体"/>
                      <w:color w:val="auto"/>
                      <w:sz w:val="18"/>
                      <w:szCs w:val="18"/>
                      <w:highlight w:val="none"/>
                    </w:rPr>
                  </w:pPr>
                </w:p>
              </w:tc>
              <w:tc>
                <w:tcPr>
                  <w:tcW w:w="31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106044">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出库拣选策略</w:t>
                  </w:r>
                </w:p>
              </w:tc>
            </w:tr>
            <w:tr w14:paraId="35C85D82">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722DD9E2">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13</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640CA7FD">
                  <w:pPr>
                    <w:jc w:val="center"/>
                    <w:rPr>
                      <w:rFonts w:hint="eastAsia" w:ascii="宋体" w:hAnsi="宋体" w:eastAsia="宋体" w:cs="宋体"/>
                      <w:b/>
                      <w:bCs/>
                      <w:color w:val="auto"/>
                      <w:sz w:val="18"/>
                      <w:szCs w:val="18"/>
                      <w:highlight w:val="none"/>
                    </w:rPr>
                  </w:pPr>
                </w:p>
              </w:tc>
              <w:tc>
                <w:tcPr>
                  <w:tcW w:w="838" w:type="pct"/>
                  <w:vMerge w:val="continue"/>
                  <w:tcBorders>
                    <w:top w:val="single" w:color="000000" w:sz="4" w:space="0"/>
                    <w:left w:val="single" w:color="000000" w:sz="4" w:space="0"/>
                    <w:bottom w:val="single" w:color="000000" w:sz="4" w:space="0"/>
                    <w:right w:val="single" w:color="000000" w:sz="4" w:space="0"/>
                  </w:tcBorders>
                  <w:vAlign w:val="center"/>
                </w:tcPr>
                <w:p w14:paraId="54957C89">
                  <w:pPr>
                    <w:rPr>
                      <w:rFonts w:hint="eastAsia" w:ascii="宋体" w:hAnsi="宋体" w:eastAsia="宋体" w:cs="宋体"/>
                      <w:color w:val="auto"/>
                      <w:sz w:val="18"/>
                      <w:szCs w:val="18"/>
                      <w:highlight w:val="none"/>
                    </w:rPr>
                  </w:pPr>
                </w:p>
              </w:tc>
              <w:tc>
                <w:tcPr>
                  <w:tcW w:w="311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D775A1">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批属性策略，自动匹配批属性模板</w:t>
                  </w:r>
                </w:p>
              </w:tc>
            </w:tr>
            <w:tr w14:paraId="7AA3CD14">
              <w:tblPrEx>
                <w:tblCellMar>
                  <w:top w:w="0" w:type="dxa"/>
                  <w:left w:w="108" w:type="dxa"/>
                  <w:bottom w:w="0" w:type="dxa"/>
                  <w:right w:w="108" w:type="dxa"/>
                </w:tblCellMar>
              </w:tblPrEx>
              <w:trPr>
                <w:trHeight w:val="127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62B80AA8">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14</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497DC558">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入库作业</w:t>
                  </w:r>
                </w:p>
              </w:tc>
              <w:tc>
                <w:tcPr>
                  <w:tcW w:w="838" w:type="pct"/>
                  <w:tcBorders>
                    <w:top w:val="single" w:color="000000" w:sz="4" w:space="0"/>
                    <w:left w:val="single" w:color="000000" w:sz="4" w:space="0"/>
                    <w:bottom w:val="single" w:color="000000" w:sz="4" w:space="0"/>
                    <w:right w:val="single" w:color="000000" w:sz="4" w:space="0"/>
                  </w:tcBorders>
                  <w:vAlign w:val="center"/>
                </w:tcPr>
                <w:p w14:paraId="79089389">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入库收货</w:t>
                  </w:r>
                </w:p>
              </w:tc>
              <w:tc>
                <w:tcPr>
                  <w:tcW w:w="3115" w:type="pct"/>
                  <w:tcBorders>
                    <w:top w:val="single" w:color="000000" w:sz="4" w:space="0"/>
                    <w:left w:val="single" w:color="000000" w:sz="4" w:space="0"/>
                    <w:bottom w:val="single" w:color="000000" w:sz="4" w:space="0"/>
                    <w:right w:val="single" w:color="000000" w:sz="4" w:space="0"/>
                  </w:tcBorders>
                  <w:vAlign w:val="center"/>
                </w:tcPr>
                <w:p w14:paraId="5910F56A">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1. 支持正常入库、空进空出收货；</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2. 支持对入库物料进行批号、效期管理；</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3. 支持对无效、作废订单进行关闭处理；</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4. 支持作业撤销。</w:t>
                  </w:r>
                </w:p>
              </w:tc>
            </w:tr>
            <w:tr w14:paraId="43A9C883">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78FF75D8">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15</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7B58C9CA">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184240FF">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组盘</w:t>
                  </w:r>
                </w:p>
              </w:tc>
              <w:tc>
                <w:tcPr>
                  <w:tcW w:w="3115" w:type="pct"/>
                  <w:tcBorders>
                    <w:top w:val="single" w:color="000000" w:sz="4" w:space="0"/>
                    <w:left w:val="single" w:color="000000" w:sz="4" w:space="0"/>
                    <w:bottom w:val="single" w:color="000000" w:sz="4" w:space="0"/>
                    <w:right w:val="single" w:color="000000" w:sz="4" w:space="0"/>
                  </w:tcBorders>
                  <w:vAlign w:val="center"/>
                </w:tcPr>
                <w:p w14:paraId="40C43ECB">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支持使用PC和PDA进行组盘操作、作业撤销。</w:t>
                  </w:r>
                </w:p>
              </w:tc>
            </w:tr>
            <w:tr w14:paraId="10A5BF95">
              <w:tblPrEx>
                <w:tblCellMar>
                  <w:top w:w="0" w:type="dxa"/>
                  <w:left w:w="108" w:type="dxa"/>
                  <w:bottom w:w="0" w:type="dxa"/>
                  <w:right w:w="108" w:type="dxa"/>
                </w:tblCellMar>
              </w:tblPrEx>
              <w:trPr>
                <w:trHeight w:val="1020"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637E3077">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16</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7B162E20">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1CF48D38">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上架确认</w:t>
                  </w:r>
                </w:p>
              </w:tc>
              <w:tc>
                <w:tcPr>
                  <w:tcW w:w="3115" w:type="pct"/>
                  <w:tcBorders>
                    <w:top w:val="single" w:color="000000" w:sz="4" w:space="0"/>
                    <w:left w:val="single" w:color="000000" w:sz="4" w:space="0"/>
                    <w:bottom w:val="single" w:color="000000" w:sz="4" w:space="0"/>
                    <w:right w:val="single" w:color="000000" w:sz="4" w:space="0"/>
                  </w:tcBorders>
                  <w:vAlign w:val="center"/>
                </w:tcPr>
                <w:p w14:paraId="6CDA601A">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1.支持使用PC和PDA进行上架确认；</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2.支持人工修改货位；</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3.支持回传上游系统记账；</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4.支持作业撤销。</w:t>
                  </w:r>
                </w:p>
              </w:tc>
            </w:tr>
            <w:tr w14:paraId="25B45B01">
              <w:tblPrEx>
                <w:tblCellMar>
                  <w:top w:w="0" w:type="dxa"/>
                  <w:left w:w="108" w:type="dxa"/>
                  <w:bottom w:w="0" w:type="dxa"/>
                  <w:right w:w="108" w:type="dxa"/>
                </w:tblCellMar>
              </w:tblPrEx>
              <w:trPr>
                <w:trHeight w:val="510"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41B36D9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17</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1B8088CF">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出库作业</w:t>
                  </w:r>
                </w:p>
              </w:tc>
              <w:tc>
                <w:tcPr>
                  <w:tcW w:w="8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0D3B3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出库订单</w:t>
                  </w:r>
                </w:p>
              </w:tc>
              <w:tc>
                <w:tcPr>
                  <w:tcW w:w="3115" w:type="pct"/>
                  <w:tcBorders>
                    <w:top w:val="single" w:color="000000" w:sz="4" w:space="0"/>
                    <w:left w:val="single" w:color="000000" w:sz="4" w:space="0"/>
                    <w:bottom w:val="single" w:color="000000" w:sz="4" w:space="0"/>
                    <w:right w:val="single" w:color="000000" w:sz="4" w:space="0"/>
                  </w:tcBorders>
                  <w:vAlign w:val="center"/>
                </w:tcPr>
                <w:p w14:paraId="6FA4F0BC">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1. 支持接收上游系统下传的出库订单，或者手动对出库订单增删改查；</w:t>
                  </w:r>
                  <w:r>
                    <w:rPr>
                      <w:rFonts w:hint="eastAsia" w:ascii="宋体" w:hAnsi="宋体" w:eastAsia="宋体" w:cs="宋体"/>
                      <w:color w:val="auto"/>
                      <w:sz w:val="18"/>
                      <w:szCs w:val="18"/>
                      <w:highlight w:val="none"/>
                      <w:lang w:eastAsia="zh-CN" w:bidi="ar"/>
                    </w:rPr>
                    <w:br w:type="textWrapping"/>
                  </w:r>
                  <w:r>
                    <w:rPr>
                      <w:rFonts w:hint="eastAsia" w:ascii="宋体" w:hAnsi="宋体" w:eastAsia="宋体" w:cs="宋体"/>
                      <w:color w:val="auto"/>
                      <w:sz w:val="18"/>
                      <w:szCs w:val="18"/>
                      <w:highlight w:val="none"/>
                      <w:lang w:eastAsia="zh-CN" w:bidi="ar"/>
                    </w:rPr>
                    <w:t>2. 支持出库手动/自动配货；</w:t>
                  </w:r>
                </w:p>
              </w:tc>
            </w:tr>
            <w:tr w14:paraId="76EA149D">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1313EED6">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18</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7EBE476E">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64C72FEF">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发运单</w:t>
                  </w:r>
                </w:p>
              </w:tc>
              <w:tc>
                <w:tcPr>
                  <w:tcW w:w="3115" w:type="pct"/>
                  <w:tcBorders>
                    <w:top w:val="single" w:color="000000" w:sz="4" w:space="0"/>
                    <w:left w:val="single" w:color="000000" w:sz="4" w:space="0"/>
                    <w:bottom w:val="single" w:color="000000" w:sz="4" w:space="0"/>
                    <w:right w:val="single" w:color="000000" w:sz="4" w:space="0"/>
                  </w:tcBorders>
                  <w:vAlign w:val="center"/>
                </w:tcPr>
                <w:p w14:paraId="4886D018">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支持出库清单查询及打印</w:t>
                  </w:r>
                </w:p>
              </w:tc>
            </w:tr>
            <w:tr w14:paraId="05AA63CB">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0D25BA75">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19</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7B6ED1DF">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业务查询</w:t>
                  </w:r>
                </w:p>
              </w:tc>
              <w:tc>
                <w:tcPr>
                  <w:tcW w:w="838" w:type="pct"/>
                  <w:tcBorders>
                    <w:top w:val="single" w:color="000000" w:sz="4" w:space="0"/>
                    <w:left w:val="single" w:color="000000" w:sz="4" w:space="0"/>
                    <w:bottom w:val="single" w:color="000000" w:sz="4" w:space="0"/>
                    <w:right w:val="single" w:color="000000" w:sz="4" w:space="0"/>
                  </w:tcBorders>
                  <w:vAlign w:val="center"/>
                </w:tcPr>
                <w:p w14:paraId="65766121">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入库</w:t>
                  </w:r>
                </w:p>
              </w:tc>
              <w:tc>
                <w:tcPr>
                  <w:tcW w:w="3115" w:type="pct"/>
                  <w:tcBorders>
                    <w:top w:val="single" w:color="000000" w:sz="4" w:space="0"/>
                    <w:left w:val="single" w:color="000000" w:sz="4" w:space="0"/>
                    <w:bottom w:val="single" w:color="000000" w:sz="4" w:space="0"/>
                    <w:right w:val="single" w:color="000000" w:sz="4" w:space="0"/>
                  </w:tcBorders>
                  <w:vAlign w:val="center"/>
                </w:tcPr>
                <w:p w14:paraId="0979186B">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入库收货记录、上架记录查询</w:t>
                  </w:r>
                </w:p>
              </w:tc>
            </w:tr>
            <w:tr w14:paraId="76D424F2">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74C30895">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20</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792D31EA">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55E0CC87">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出库</w:t>
                  </w:r>
                </w:p>
              </w:tc>
              <w:tc>
                <w:tcPr>
                  <w:tcW w:w="3115" w:type="pct"/>
                  <w:tcBorders>
                    <w:top w:val="single" w:color="000000" w:sz="4" w:space="0"/>
                    <w:left w:val="single" w:color="000000" w:sz="4" w:space="0"/>
                    <w:bottom w:val="single" w:color="000000" w:sz="4" w:space="0"/>
                    <w:right w:val="single" w:color="000000" w:sz="4" w:space="0"/>
                  </w:tcBorders>
                  <w:vAlign w:val="center"/>
                </w:tcPr>
                <w:p w14:paraId="2C132DE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出库任务单记录查询</w:t>
                  </w:r>
                </w:p>
              </w:tc>
            </w:tr>
            <w:tr w14:paraId="56E2B857">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439A3CB1">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21</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0F1737FB">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08CB5E5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库存</w:t>
                  </w:r>
                </w:p>
              </w:tc>
              <w:tc>
                <w:tcPr>
                  <w:tcW w:w="3115" w:type="pct"/>
                  <w:tcBorders>
                    <w:top w:val="single" w:color="000000" w:sz="4" w:space="0"/>
                    <w:left w:val="single" w:color="000000" w:sz="4" w:space="0"/>
                    <w:bottom w:val="single" w:color="000000" w:sz="4" w:space="0"/>
                    <w:right w:val="single" w:color="000000" w:sz="4" w:space="0"/>
                  </w:tcBorders>
                  <w:vAlign w:val="center"/>
                </w:tcPr>
                <w:p w14:paraId="7CEE23DC">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库别库存、批号库存、货位库存、批号货位库存查询</w:t>
                  </w:r>
                </w:p>
              </w:tc>
            </w:tr>
            <w:tr w14:paraId="43F769DC">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52C6C08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22</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2DD54D4B">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6B0303F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库位</w:t>
                  </w:r>
                </w:p>
              </w:tc>
              <w:tc>
                <w:tcPr>
                  <w:tcW w:w="3115" w:type="pct"/>
                  <w:tcBorders>
                    <w:top w:val="single" w:color="000000" w:sz="4" w:space="0"/>
                    <w:left w:val="single" w:color="000000" w:sz="4" w:space="0"/>
                    <w:bottom w:val="single" w:color="000000" w:sz="4" w:space="0"/>
                    <w:right w:val="single" w:color="000000" w:sz="4" w:space="0"/>
                  </w:tcBorders>
                  <w:vAlign w:val="center"/>
                </w:tcPr>
                <w:p w14:paraId="6DBB429D">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库位使用情况查询</w:t>
                  </w:r>
                </w:p>
              </w:tc>
            </w:tr>
            <w:tr w14:paraId="2ADCB30A">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05A4FB43">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23</w:t>
                  </w:r>
                </w:p>
              </w:tc>
              <w:tc>
                <w:tcPr>
                  <w:tcW w:w="633" w:type="pct"/>
                  <w:vMerge w:val="restart"/>
                  <w:tcBorders>
                    <w:top w:val="single" w:color="000000" w:sz="4" w:space="0"/>
                    <w:left w:val="single" w:color="000000" w:sz="4" w:space="0"/>
                    <w:bottom w:val="single" w:color="000000" w:sz="4" w:space="0"/>
                    <w:right w:val="single" w:color="000000" w:sz="4" w:space="0"/>
                  </w:tcBorders>
                  <w:vAlign w:val="center"/>
                </w:tcPr>
                <w:p w14:paraId="2547E0C1">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系统管理</w:t>
                  </w:r>
                </w:p>
              </w:tc>
              <w:tc>
                <w:tcPr>
                  <w:tcW w:w="838" w:type="pct"/>
                  <w:tcBorders>
                    <w:top w:val="single" w:color="000000" w:sz="4" w:space="0"/>
                    <w:left w:val="single" w:color="000000" w:sz="4" w:space="0"/>
                    <w:bottom w:val="single" w:color="000000" w:sz="4" w:space="0"/>
                    <w:right w:val="single" w:color="000000" w:sz="4" w:space="0"/>
                  </w:tcBorders>
                  <w:vAlign w:val="center"/>
                </w:tcPr>
                <w:p w14:paraId="5186146B">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用户管理</w:t>
                  </w:r>
                </w:p>
              </w:tc>
              <w:tc>
                <w:tcPr>
                  <w:tcW w:w="3115" w:type="pct"/>
                  <w:tcBorders>
                    <w:top w:val="single" w:color="000000" w:sz="4" w:space="0"/>
                    <w:left w:val="single" w:color="000000" w:sz="4" w:space="0"/>
                    <w:bottom w:val="single" w:color="000000" w:sz="4" w:space="0"/>
                    <w:right w:val="single" w:color="000000" w:sz="4" w:space="0"/>
                  </w:tcBorders>
                  <w:vAlign w:val="center"/>
                </w:tcPr>
                <w:p w14:paraId="1FCA3194">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支持查看、创建、管理使用系统的用户的信息。</w:t>
                  </w:r>
                </w:p>
              </w:tc>
            </w:tr>
            <w:tr w14:paraId="4F99F04E">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6FCD49E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24</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31999A8F">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6CCB1FDC">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部门管理</w:t>
                  </w:r>
                </w:p>
              </w:tc>
              <w:tc>
                <w:tcPr>
                  <w:tcW w:w="3115" w:type="pct"/>
                  <w:tcBorders>
                    <w:top w:val="single" w:color="000000" w:sz="4" w:space="0"/>
                    <w:left w:val="single" w:color="000000" w:sz="4" w:space="0"/>
                    <w:bottom w:val="single" w:color="000000" w:sz="4" w:space="0"/>
                    <w:right w:val="single" w:color="000000" w:sz="4" w:space="0"/>
                  </w:tcBorders>
                  <w:vAlign w:val="center"/>
                </w:tcPr>
                <w:p w14:paraId="479238CD">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支持查看、创建、管理使用系统的公司或部门的信息</w:t>
                  </w:r>
                </w:p>
              </w:tc>
            </w:tr>
            <w:tr w14:paraId="49418995">
              <w:tblPrEx>
                <w:tblCellMar>
                  <w:top w:w="0" w:type="dxa"/>
                  <w:left w:w="108" w:type="dxa"/>
                  <w:bottom w:w="0" w:type="dxa"/>
                  <w:right w:w="108" w:type="dxa"/>
                </w:tblCellMar>
              </w:tblPrEx>
              <w:trPr>
                <w:trHeight w:val="510"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5FA4C663">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25</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4F5BACF0">
                  <w:pPr>
                    <w:jc w:val="center"/>
                    <w:rPr>
                      <w:rFonts w:hint="eastAsia" w:ascii="宋体" w:hAnsi="宋体" w:eastAsia="宋体" w:cs="宋体"/>
                      <w:b/>
                      <w:bCs/>
                      <w:color w:val="auto"/>
                      <w:sz w:val="18"/>
                      <w:szCs w:val="18"/>
                      <w:highlight w:val="none"/>
                    </w:rPr>
                  </w:pPr>
                </w:p>
              </w:tc>
              <w:tc>
                <w:tcPr>
                  <w:tcW w:w="838" w:type="pct"/>
                  <w:tcBorders>
                    <w:top w:val="single" w:color="000000" w:sz="4" w:space="0"/>
                    <w:left w:val="single" w:color="000000" w:sz="4" w:space="0"/>
                    <w:bottom w:val="single" w:color="000000" w:sz="4" w:space="0"/>
                    <w:right w:val="single" w:color="000000" w:sz="4" w:space="0"/>
                  </w:tcBorders>
                  <w:vAlign w:val="center"/>
                </w:tcPr>
                <w:p w14:paraId="0B065F6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角色管理</w:t>
                  </w:r>
                </w:p>
              </w:tc>
              <w:tc>
                <w:tcPr>
                  <w:tcW w:w="3115" w:type="pct"/>
                  <w:tcBorders>
                    <w:top w:val="single" w:color="000000" w:sz="4" w:space="0"/>
                    <w:left w:val="single" w:color="000000" w:sz="4" w:space="0"/>
                    <w:bottom w:val="single" w:color="000000" w:sz="4" w:space="0"/>
                    <w:right w:val="single" w:color="000000" w:sz="4" w:space="0"/>
                  </w:tcBorders>
                  <w:vAlign w:val="center"/>
                </w:tcPr>
                <w:p w14:paraId="0E861789">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支持查看、创建、管理使用系统的角色信息，角色用于分配给用户系统的操作权限和数据权限。</w:t>
                  </w:r>
                </w:p>
              </w:tc>
            </w:tr>
            <w:tr w14:paraId="2BBA2624">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7247F669">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26</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4DC51FD1">
                  <w:pPr>
                    <w:jc w:val="center"/>
                    <w:rPr>
                      <w:rFonts w:hint="eastAsia" w:ascii="宋体" w:hAnsi="宋体" w:eastAsia="宋体" w:cs="宋体"/>
                      <w:b/>
                      <w:bCs/>
                      <w:color w:val="auto"/>
                      <w:sz w:val="18"/>
                      <w:szCs w:val="18"/>
                      <w:highlight w:val="none"/>
                    </w:rPr>
                  </w:pPr>
                </w:p>
              </w:tc>
              <w:tc>
                <w:tcPr>
                  <w:tcW w:w="838" w:type="pct"/>
                  <w:vMerge w:val="restart"/>
                  <w:tcBorders>
                    <w:top w:val="single" w:color="000000" w:sz="4" w:space="0"/>
                    <w:left w:val="single" w:color="000000" w:sz="4" w:space="0"/>
                    <w:bottom w:val="single" w:color="000000" w:sz="4" w:space="0"/>
                    <w:right w:val="single" w:color="000000" w:sz="4" w:space="0"/>
                  </w:tcBorders>
                  <w:vAlign w:val="center"/>
                </w:tcPr>
                <w:p w14:paraId="1E627091">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系统日志</w:t>
                  </w:r>
                </w:p>
              </w:tc>
              <w:tc>
                <w:tcPr>
                  <w:tcW w:w="3115" w:type="pct"/>
                  <w:tcBorders>
                    <w:top w:val="single" w:color="000000" w:sz="4" w:space="0"/>
                    <w:left w:val="single" w:color="000000" w:sz="4" w:space="0"/>
                    <w:bottom w:val="single" w:color="000000" w:sz="4" w:space="0"/>
                    <w:right w:val="single" w:color="000000" w:sz="4" w:space="0"/>
                  </w:tcBorders>
                  <w:vAlign w:val="center"/>
                </w:tcPr>
                <w:p w14:paraId="418523C5">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支持查看系统登录日志</w:t>
                  </w:r>
                </w:p>
              </w:tc>
            </w:tr>
            <w:tr w14:paraId="07A9F5A4">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1F560A4C">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27</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42D5C992">
                  <w:pPr>
                    <w:jc w:val="center"/>
                    <w:rPr>
                      <w:rFonts w:hint="eastAsia" w:ascii="宋体" w:hAnsi="宋体" w:eastAsia="宋体" w:cs="宋体"/>
                      <w:b/>
                      <w:bCs/>
                      <w:color w:val="auto"/>
                      <w:sz w:val="18"/>
                      <w:szCs w:val="18"/>
                      <w:highlight w:val="none"/>
                    </w:rPr>
                  </w:pPr>
                </w:p>
              </w:tc>
              <w:tc>
                <w:tcPr>
                  <w:tcW w:w="838" w:type="pct"/>
                  <w:vMerge w:val="continue"/>
                  <w:tcBorders>
                    <w:top w:val="single" w:color="000000" w:sz="4" w:space="0"/>
                    <w:left w:val="single" w:color="000000" w:sz="4" w:space="0"/>
                    <w:bottom w:val="single" w:color="000000" w:sz="4" w:space="0"/>
                    <w:right w:val="single" w:color="000000" w:sz="4" w:space="0"/>
                  </w:tcBorders>
                  <w:vAlign w:val="center"/>
                </w:tcPr>
                <w:p w14:paraId="1EA2B637">
                  <w:pPr>
                    <w:rPr>
                      <w:rFonts w:hint="eastAsia" w:ascii="宋体" w:hAnsi="宋体" w:eastAsia="宋体" w:cs="宋体"/>
                      <w:color w:val="auto"/>
                      <w:sz w:val="18"/>
                      <w:szCs w:val="18"/>
                      <w:highlight w:val="none"/>
                    </w:rPr>
                  </w:pPr>
                </w:p>
              </w:tc>
              <w:tc>
                <w:tcPr>
                  <w:tcW w:w="3115" w:type="pct"/>
                  <w:tcBorders>
                    <w:top w:val="single" w:color="000000" w:sz="4" w:space="0"/>
                    <w:left w:val="single" w:color="000000" w:sz="4" w:space="0"/>
                    <w:bottom w:val="single" w:color="000000" w:sz="4" w:space="0"/>
                    <w:right w:val="single" w:color="000000" w:sz="4" w:space="0"/>
                  </w:tcBorders>
                  <w:vAlign w:val="center"/>
                </w:tcPr>
                <w:p w14:paraId="63351D17">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支持查看系统操作日志</w:t>
                  </w:r>
                </w:p>
              </w:tc>
            </w:tr>
            <w:tr w14:paraId="3D1A36C8">
              <w:tblPrEx>
                <w:tblCellMar>
                  <w:top w:w="0" w:type="dxa"/>
                  <w:left w:w="108" w:type="dxa"/>
                  <w:bottom w:w="0" w:type="dxa"/>
                  <w:right w:w="108" w:type="dxa"/>
                </w:tblCellMar>
              </w:tblPrEx>
              <w:trPr>
                <w:trHeight w:val="315" w:hRule="atLeast"/>
              </w:trPr>
              <w:tc>
                <w:tcPr>
                  <w:tcW w:w="412" w:type="pct"/>
                  <w:tcBorders>
                    <w:top w:val="single" w:color="000000" w:sz="4" w:space="0"/>
                    <w:left w:val="single" w:color="000000" w:sz="4" w:space="0"/>
                    <w:bottom w:val="single" w:color="000000" w:sz="4" w:space="0"/>
                    <w:right w:val="single" w:color="000000" w:sz="4" w:space="0"/>
                  </w:tcBorders>
                  <w:vAlign w:val="center"/>
                </w:tcPr>
                <w:p w14:paraId="1E4158D7">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28</w:t>
                  </w:r>
                </w:p>
              </w:tc>
              <w:tc>
                <w:tcPr>
                  <w:tcW w:w="633" w:type="pct"/>
                  <w:vMerge w:val="continue"/>
                  <w:tcBorders>
                    <w:top w:val="single" w:color="000000" w:sz="4" w:space="0"/>
                    <w:left w:val="single" w:color="000000" w:sz="4" w:space="0"/>
                    <w:bottom w:val="single" w:color="000000" w:sz="4" w:space="0"/>
                    <w:right w:val="single" w:color="000000" w:sz="4" w:space="0"/>
                  </w:tcBorders>
                  <w:vAlign w:val="center"/>
                </w:tcPr>
                <w:p w14:paraId="4BF9F5CA">
                  <w:pPr>
                    <w:jc w:val="center"/>
                    <w:rPr>
                      <w:rFonts w:hint="eastAsia" w:ascii="宋体" w:hAnsi="宋体" w:eastAsia="宋体" w:cs="宋体"/>
                      <w:b/>
                      <w:bCs/>
                      <w:color w:val="auto"/>
                      <w:sz w:val="18"/>
                      <w:szCs w:val="18"/>
                      <w:highlight w:val="none"/>
                    </w:rPr>
                  </w:pPr>
                </w:p>
              </w:tc>
              <w:tc>
                <w:tcPr>
                  <w:tcW w:w="838" w:type="pct"/>
                  <w:vMerge w:val="continue"/>
                  <w:tcBorders>
                    <w:top w:val="single" w:color="000000" w:sz="4" w:space="0"/>
                    <w:left w:val="single" w:color="000000" w:sz="4" w:space="0"/>
                    <w:bottom w:val="single" w:color="000000" w:sz="4" w:space="0"/>
                    <w:right w:val="single" w:color="000000" w:sz="4" w:space="0"/>
                  </w:tcBorders>
                  <w:vAlign w:val="center"/>
                </w:tcPr>
                <w:p w14:paraId="4F571D60">
                  <w:pPr>
                    <w:rPr>
                      <w:rFonts w:hint="eastAsia" w:ascii="宋体" w:hAnsi="宋体" w:eastAsia="宋体" w:cs="宋体"/>
                      <w:color w:val="auto"/>
                      <w:sz w:val="18"/>
                      <w:szCs w:val="18"/>
                      <w:highlight w:val="none"/>
                    </w:rPr>
                  </w:pPr>
                </w:p>
              </w:tc>
              <w:tc>
                <w:tcPr>
                  <w:tcW w:w="3115" w:type="pct"/>
                  <w:tcBorders>
                    <w:top w:val="single" w:color="000000" w:sz="4" w:space="0"/>
                    <w:left w:val="single" w:color="000000" w:sz="4" w:space="0"/>
                    <w:bottom w:val="single" w:color="000000" w:sz="4" w:space="0"/>
                    <w:right w:val="single" w:color="000000" w:sz="4" w:space="0"/>
                  </w:tcBorders>
                  <w:vAlign w:val="center"/>
                </w:tcPr>
                <w:p w14:paraId="5C0EC14B">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支持查看系统运行日志</w:t>
                  </w:r>
                </w:p>
              </w:tc>
            </w:tr>
          </w:tbl>
          <w:p w14:paraId="31B47D02">
            <w:pPr>
              <w:textAlignment w:val="center"/>
              <w:rPr>
                <w:rFonts w:hint="eastAsia" w:ascii="宋体" w:hAnsi="宋体" w:eastAsia="宋体" w:cs="宋体"/>
                <w:color w:val="auto"/>
                <w:sz w:val="20"/>
                <w:szCs w:val="20"/>
                <w:highlight w:val="none"/>
                <w:lang w:eastAsia="zh-CN"/>
              </w:rPr>
            </w:pPr>
          </w:p>
        </w:tc>
      </w:tr>
      <w:tr w14:paraId="2E221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D3EB754">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A0BF7F2">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1CA120FD">
            <w:pP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1套</w:t>
            </w:r>
          </w:p>
        </w:tc>
        <w:tc>
          <w:tcPr>
            <w:tcW w:w="3942" w:type="pct"/>
            <w:shd w:val="clear" w:color="auto" w:fill="auto"/>
            <w:vAlign w:val="center"/>
          </w:tcPr>
          <w:tbl>
            <w:tblPr>
              <w:tblStyle w:val="11"/>
              <w:tblW w:w="6747" w:type="dxa"/>
              <w:tblInd w:w="0" w:type="dxa"/>
              <w:tblLayout w:type="autofit"/>
              <w:tblCellMar>
                <w:top w:w="0" w:type="dxa"/>
                <w:left w:w="108" w:type="dxa"/>
                <w:bottom w:w="0" w:type="dxa"/>
                <w:right w:w="108" w:type="dxa"/>
              </w:tblCellMar>
            </w:tblPr>
            <w:tblGrid>
              <w:gridCol w:w="579"/>
              <w:gridCol w:w="838"/>
              <w:gridCol w:w="1228"/>
              <w:gridCol w:w="4102"/>
            </w:tblGrid>
            <w:tr w14:paraId="57D26BE7">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5833BE14">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序号</w:t>
                  </w:r>
                </w:p>
              </w:tc>
              <w:tc>
                <w:tcPr>
                  <w:tcW w:w="621"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540FE3D3">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一级功能菜单</w:t>
                  </w:r>
                </w:p>
              </w:tc>
              <w:tc>
                <w:tcPr>
                  <w:tcW w:w="910"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00A3F856">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二级功能菜单</w:t>
                  </w:r>
                </w:p>
              </w:tc>
              <w:tc>
                <w:tcPr>
                  <w:tcW w:w="3039" w:type="pct"/>
                  <w:tcBorders>
                    <w:top w:val="single" w:color="000000" w:sz="4" w:space="0"/>
                    <w:left w:val="single" w:color="000000" w:sz="4" w:space="0"/>
                    <w:bottom w:val="single" w:color="000000" w:sz="4" w:space="0"/>
                    <w:right w:val="single" w:color="000000" w:sz="4" w:space="0"/>
                  </w:tcBorders>
                  <w:shd w:val="clear" w:color="auto" w:fill="A6A6A6"/>
                  <w:vAlign w:val="center"/>
                </w:tcPr>
                <w:p w14:paraId="2D7AB730">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功能说明</w:t>
                  </w:r>
                </w:p>
              </w:tc>
            </w:tr>
            <w:tr w14:paraId="2A230838">
              <w:tblPrEx>
                <w:tblCellMar>
                  <w:top w:w="0" w:type="dxa"/>
                  <w:left w:w="108" w:type="dxa"/>
                  <w:bottom w:w="0" w:type="dxa"/>
                  <w:right w:w="108" w:type="dxa"/>
                </w:tblCellMar>
              </w:tblPrEx>
              <w:trPr>
                <w:trHeight w:val="315"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D6DCE4"/>
                  <w:vAlign w:val="center"/>
                </w:tcPr>
                <w:p w14:paraId="3E825C7D">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WCS功能</w:t>
                  </w:r>
                </w:p>
              </w:tc>
            </w:tr>
            <w:tr w14:paraId="7B557704">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1CFF19E6">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w:t>
                  </w:r>
                </w:p>
              </w:tc>
              <w:tc>
                <w:tcPr>
                  <w:tcW w:w="621" w:type="pct"/>
                  <w:tcBorders>
                    <w:top w:val="single" w:color="000000" w:sz="4" w:space="0"/>
                    <w:left w:val="single" w:color="000000" w:sz="4" w:space="0"/>
                    <w:bottom w:val="single" w:color="000000" w:sz="4" w:space="0"/>
                    <w:right w:val="single" w:color="000000" w:sz="4" w:space="0"/>
                  </w:tcBorders>
                  <w:vAlign w:val="center"/>
                </w:tcPr>
                <w:p w14:paraId="01913FF6">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首页</w:t>
                  </w:r>
                </w:p>
              </w:tc>
              <w:tc>
                <w:tcPr>
                  <w:tcW w:w="910" w:type="pct"/>
                  <w:tcBorders>
                    <w:top w:val="single" w:color="000000" w:sz="4" w:space="0"/>
                    <w:left w:val="single" w:color="000000" w:sz="4" w:space="0"/>
                    <w:bottom w:val="single" w:color="000000" w:sz="4" w:space="0"/>
                    <w:right w:val="single" w:color="000000" w:sz="4" w:space="0"/>
                  </w:tcBorders>
                  <w:vAlign w:val="center"/>
                </w:tcPr>
                <w:p w14:paraId="3C4F64B5">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首页</w:t>
                  </w:r>
                </w:p>
              </w:tc>
              <w:tc>
                <w:tcPr>
                  <w:tcW w:w="3039" w:type="pct"/>
                  <w:tcBorders>
                    <w:top w:val="single" w:color="000000" w:sz="4" w:space="0"/>
                    <w:left w:val="single" w:color="000000" w:sz="4" w:space="0"/>
                    <w:bottom w:val="single" w:color="000000" w:sz="4" w:space="0"/>
                    <w:right w:val="single" w:color="000000" w:sz="4" w:space="0"/>
                  </w:tcBorders>
                  <w:vAlign w:val="center"/>
                </w:tcPr>
                <w:p w14:paraId="4CD75144">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支持关键信息图表展示，包括当天待做任务统计，设备运行状态监控、告警提醒等</w:t>
                  </w:r>
                </w:p>
              </w:tc>
            </w:tr>
            <w:tr w14:paraId="6340309E">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18C3C213">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w:t>
                  </w:r>
                </w:p>
              </w:tc>
              <w:tc>
                <w:tcPr>
                  <w:tcW w:w="621" w:type="pct"/>
                  <w:vMerge w:val="restart"/>
                  <w:tcBorders>
                    <w:top w:val="single" w:color="000000" w:sz="4" w:space="0"/>
                    <w:left w:val="single" w:color="000000" w:sz="4" w:space="0"/>
                    <w:bottom w:val="single" w:color="000000" w:sz="4" w:space="0"/>
                    <w:right w:val="single" w:color="000000" w:sz="4" w:space="0"/>
                  </w:tcBorders>
                  <w:vAlign w:val="center"/>
                </w:tcPr>
                <w:p w14:paraId="28F922DA">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主数据管理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78BAD7C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仓库</w:t>
                  </w:r>
                </w:p>
              </w:tc>
              <w:tc>
                <w:tcPr>
                  <w:tcW w:w="3039" w:type="pct"/>
                  <w:tcBorders>
                    <w:top w:val="single" w:color="000000" w:sz="4" w:space="0"/>
                    <w:left w:val="single" w:color="000000" w:sz="4" w:space="0"/>
                    <w:bottom w:val="single" w:color="000000" w:sz="4" w:space="0"/>
                    <w:right w:val="single" w:color="000000" w:sz="4" w:space="0"/>
                  </w:tcBorders>
                  <w:vAlign w:val="center"/>
                </w:tcPr>
                <w:p w14:paraId="32F45A7D">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支持仓库基础信息的维护</w:t>
                  </w:r>
                </w:p>
              </w:tc>
            </w:tr>
            <w:tr w14:paraId="390DFD83">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30961AFB">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3</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0995D326">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53D2029D">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库区</w:t>
                  </w:r>
                </w:p>
              </w:tc>
              <w:tc>
                <w:tcPr>
                  <w:tcW w:w="3039" w:type="pct"/>
                  <w:tcBorders>
                    <w:top w:val="single" w:color="000000" w:sz="4" w:space="0"/>
                    <w:left w:val="single" w:color="000000" w:sz="4" w:space="0"/>
                    <w:bottom w:val="single" w:color="000000" w:sz="4" w:space="0"/>
                    <w:right w:val="single" w:color="000000" w:sz="4" w:space="0"/>
                  </w:tcBorders>
                  <w:vAlign w:val="center"/>
                </w:tcPr>
                <w:p w14:paraId="3ABB2883">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支持对现场规划布局的库区等基础信息的维护</w:t>
                  </w:r>
                </w:p>
              </w:tc>
            </w:tr>
            <w:tr w14:paraId="650F443B">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68C34ED9">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4</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27B4C6E1">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5D3E7CBB">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库位</w:t>
                  </w:r>
                </w:p>
              </w:tc>
              <w:tc>
                <w:tcPr>
                  <w:tcW w:w="3039" w:type="pct"/>
                  <w:tcBorders>
                    <w:top w:val="single" w:color="000000" w:sz="4" w:space="0"/>
                    <w:left w:val="single" w:color="000000" w:sz="4" w:space="0"/>
                    <w:bottom w:val="single" w:color="000000" w:sz="4" w:space="0"/>
                    <w:right w:val="single" w:color="000000" w:sz="4" w:space="0"/>
                  </w:tcBorders>
                  <w:vAlign w:val="center"/>
                </w:tcPr>
                <w:p w14:paraId="4143E75A">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支持对现场规划布局的库位字典等基础信息的维护</w:t>
                  </w:r>
                </w:p>
              </w:tc>
            </w:tr>
            <w:tr w14:paraId="231BA578">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15B971C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5</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064F0A82">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2152D294">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地图</w:t>
                  </w:r>
                </w:p>
              </w:tc>
              <w:tc>
                <w:tcPr>
                  <w:tcW w:w="3039" w:type="pct"/>
                  <w:tcBorders>
                    <w:top w:val="single" w:color="000000" w:sz="4" w:space="0"/>
                    <w:left w:val="single" w:color="000000" w:sz="4" w:space="0"/>
                    <w:bottom w:val="single" w:color="000000" w:sz="4" w:space="0"/>
                    <w:right w:val="single" w:color="000000" w:sz="4" w:space="0"/>
                  </w:tcBorders>
                  <w:vAlign w:val="center"/>
                </w:tcPr>
                <w:p w14:paraId="016537D5">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支持坐标的添加和管理、地图的编辑</w:t>
                  </w:r>
                </w:p>
              </w:tc>
            </w:tr>
            <w:tr w14:paraId="18100752">
              <w:tblPrEx>
                <w:tblCellMar>
                  <w:top w:w="0" w:type="dxa"/>
                  <w:left w:w="108" w:type="dxa"/>
                  <w:bottom w:w="0" w:type="dxa"/>
                  <w:right w:w="108" w:type="dxa"/>
                </w:tblCellMar>
              </w:tblPrEx>
              <w:trPr>
                <w:trHeight w:val="510"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76A7C42F">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6</w:t>
                  </w:r>
                </w:p>
              </w:tc>
              <w:tc>
                <w:tcPr>
                  <w:tcW w:w="621" w:type="pct"/>
                  <w:vMerge w:val="restart"/>
                  <w:tcBorders>
                    <w:top w:val="single" w:color="000000" w:sz="4" w:space="0"/>
                    <w:left w:val="single" w:color="000000" w:sz="4" w:space="0"/>
                    <w:bottom w:val="single" w:color="000000" w:sz="4" w:space="0"/>
                    <w:right w:val="single" w:color="000000" w:sz="4" w:space="0"/>
                  </w:tcBorders>
                  <w:vAlign w:val="center"/>
                </w:tcPr>
                <w:p w14:paraId="1D1E3161">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任务管理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2A59207E">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任务管理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38405BD7">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支持任务队列查询，接口任务、入库任务、出库任务、移库任务管理，调度自动化设备完成搬运任务，并将任务状态反馈上游系统等。</w:t>
                  </w:r>
                </w:p>
              </w:tc>
            </w:tr>
            <w:tr w14:paraId="1A5ACB1E">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39F5A1D1">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7</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1F4D9E47">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7FBDCAFA">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异常任务恢复</w:t>
                  </w:r>
                </w:p>
              </w:tc>
              <w:tc>
                <w:tcPr>
                  <w:tcW w:w="3039" w:type="pct"/>
                  <w:tcBorders>
                    <w:top w:val="single" w:color="000000" w:sz="4" w:space="0"/>
                    <w:left w:val="single" w:color="000000" w:sz="4" w:space="0"/>
                    <w:bottom w:val="single" w:color="000000" w:sz="4" w:space="0"/>
                    <w:right w:val="single" w:color="000000" w:sz="4" w:space="0"/>
                  </w:tcBorders>
                  <w:vAlign w:val="center"/>
                </w:tcPr>
                <w:p w14:paraId="2F20DA1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支持任务异常处理。</w:t>
                  </w:r>
                </w:p>
              </w:tc>
            </w:tr>
            <w:tr w14:paraId="0203DEE8">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282F0AED">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8</w:t>
                  </w:r>
                </w:p>
              </w:tc>
              <w:tc>
                <w:tcPr>
                  <w:tcW w:w="621" w:type="pct"/>
                  <w:vMerge w:val="restart"/>
                  <w:tcBorders>
                    <w:top w:val="single" w:color="000000" w:sz="4" w:space="0"/>
                    <w:left w:val="single" w:color="000000" w:sz="4" w:space="0"/>
                    <w:bottom w:val="single" w:color="000000" w:sz="4" w:space="0"/>
                    <w:right w:val="single" w:color="000000" w:sz="4" w:space="0"/>
                  </w:tcBorders>
                  <w:vAlign w:val="center"/>
                </w:tcPr>
                <w:p w14:paraId="2FC2F573">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设备管理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654EFDF7">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设备参数管理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2271C79F">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设备参数的添加、修改、查询以及删除等</w:t>
                  </w:r>
                </w:p>
              </w:tc>
            </w:tr>
            <w:tr w14:paraId="75B38B19">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698B09F9">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9</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160A8F4C">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2E280810">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设备状态监控</w:t>
                  </w:r>
                </w:p>
              </w:tc>
              <w:tc>
                <w:tcPr>
                  <w:tcW w:w="3039" w:type="pct"/>
                  <w:tcBorders>
                    <w:top w:val="single" w:color="000000" w:sz="4" w:space="0"/>
                    <w:left w:val="single" w:color="000000" w:sz="4" w:space="0"/>
                    <w:bottom w:val="single" w:color="000000" w:sz="4" w:space="0"/>
                    <w:right w:val="single" w:color="000000" w:sz="4" w:space="0"/>
                  </w:tcBorders>
                  <w:vAlign w:val="center"/>
                </w:tcPr>
                <w:p w14:paraId="50CA2328">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设备状态查询</w:t>
                  </w:r>
                </w:p>
              </w:tc>
            </w:tr>
            <w:tr w14:paraId="27FADE7E">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03EC288F">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10</w:t>
                  </w:r>
                </w:p>
              </w:tc>
              <w:tc>
                <w:tcPr>
                  <w:tcW w:w="621" w:type="pct"/>
                  <w:tcBorders>
                    <w:top w:val="single" w:color="000000" w:sz="4" w:space="0"/>
                    <w:left w:val="single" w:color="000000" w:sz="4" w:space="0"/>
                    <w:bottom w:val="nil"/>
                    <w:right w:val="single" w:color="000000" w:sz="4" w:space="0"/>
                  </w:tcBorders>
                  <w:vAlign w:val="center"/>
                </w:tcPr>
                <w:p w14:paraId="15DCADC6">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策略管理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4E0344C5">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任务分配</w:t>
                  </w:r>
                </w:p>
              </w:tc>
              <w:tc>
                <w:tcPr>
                  <w:tcW w:w="3039" w:type="pct"/>
                  <w:tcBorders>
                    <w:top w:val="single" w:color="000000" w:sz="4" w:space="0"/>
                    <w:left w:val="single" w:color="000000" w:sz="4" w:space="0"/>
                    <w:bottom w:val="single" w:color="000000" w:sz="4" w:space="0"/>
                    <w:right w:val="single" w:color="000000" w:sz="4" w:space="0"/>
                  </w:tcBorders>
                  <w:vAlign w:val="center"/>
                </w:tcPr>
                <w:p w14:paraId="6E720A1D">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支持堆垛机的任务分配策略</w:t>
                  </w:r>
                </w:p>
              </w:tc>
            </w:tr>
            <w:tr w14:paraId="08F808FE">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5E36473C">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11</w:t>
                  </w:r>
                </w:p>
              </w:tc>
              <w:tc>
                <w:tcPr>
                  <w:tcW w:w="621" w:type="pct"/>
                  <w:tcBorders>
                    <w:top w:val="single" w:color="000000" w:sz="4" w:space="0"/>
                    <w:left w:val="single" w:color="000000" w:sz="4" w:space="0"/>
                    <w:bottom w:val="single" w:color="000000" w:sz="4" w:space="0"/>
                    <w:right w:val="single" w:color="000000" w:sz="4" w:space="0"/>
                  </w:tcBorders>
                  <w:vAlign w:val="center"/>
                </w:tcPr>
                <w:p w14:paraId="6357C33A">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业务日志</w:t>
                  </w:r>
                </w:p>
              </w:tc>
              <w:tc>
                <w:tcPr>
                  <w:tcW w:w="910" w:type="pct"/>
                  <w:tcBorders>
                    <w:top w:val="single" w:color="000000" w:sz="4" w:space="0"/>
                    <w:left w:val="single" w:color="000000" w:sz="4" w:space="0"/>
                    <w:bottom w:val="single" w:color="000000" w:sz="4" w:space="0"/>
                    <w:right w:val="single" w:color="000000" w:sz="4" w:space="0"/>
                  </w:tcBorders>
                  <w:vAlign w:val="center"/>
                </w:tcPr>
                <w:p w14:paraId="38E980A1">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设备运行日志</w:t>
                  </w:r>
                </w:p>
              </w:tc>
              <w:tc>
                <w:tcPr>
                  <w:tcW w:w="3039" w:type="pct"/>
                  <w:tcBorders>
                    <w:top w:val="single" w:color="000000" w:sz="4" w:space="0"/>
                    <w:left w:val="single" w:color="000000" w:sz="4" w:space="0"/>
                    <w:bottom w:val="single" w:color="000000" w:sz="4" w:space="0"/>
                    <w:right w:val="single" w:color="000000" w:sz="4" w:space="0"/>
                  </w:tcBorders>
                  <w:vAlign w:val="center"/>
                </w:tcPr>
                <w:p w14:paraId="70F8844A">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支持接口日志、设备运行日志、异常日志以及任务日志的追踪查询</w:t>
                  </w:r>
                </w:p>
              </w:tc>
            </w:tr>
            <w:tr w14:paraId="0D87E65D">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2E7DA05D">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12</w:t>
                  </w:r>
                </w:p>
              </w:tc>
              <w:tc>
                <w:tcPr>
                  <w:tcW w:w="621" w:type="pct"/>
                  <w:vMerge w:val="restart"/>
                  <w:tcBorders>
                    <w:top w:val="single" w:color="000000" w:sz="4" w:space="0"/>
                    <w:left w:val="single" w:color="000000" w:sz="4" w:space="0"/>
                    <w:bottom w:val="single" w:color="000000" w:sz="4" w:space="0"/>
                    <w:right w:val="single" w:color="000000" w:sz="4" w:space="0"/>
                  </w:tcBorders>
                  <w:vAlign w:val="center"/>
                </w:tcPr>
                <w:p w14:paraId="247DCA15">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系统管理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08BE473F">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用户管理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06BFF789">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支持查看、创建、管理使用系统的用户的信息。</w:t>
                  </w:r>
                </w:p>
              </w:tc>
            </w:tr>
            <w:tr w14:paraId="2633C92B">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319D3BFA">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13</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7812B684">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00F0D7D9">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部门管理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329556E8">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支持查看、创建、管理使用系统的公司或部门的信息</w:t>
                  </w:r>
                </w:p>
              </w:tc>
            </w:tr>
            <w:tr w14:paraId="397CD552">
              <w:tblPrEx>
                <w:tblCellMar>
                  <w:top w:w="0" w:type="dxa"/>
                  <w:left w:w="108" w:type="dxa"/>
                  <w:bottom w:w="0" w:type="dxa"/>
                  <w:right w:w="108" w:type="dxa"/>
                </w:tblCellMar>
              </w:tblPrEx>
              <w:trPr>
                <w:trHeight w:val="510"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2BB92F28">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14</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7A52DA05">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5782FB1F">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角色管理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56E8BBE3">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支持查看、创建、管理使用系统的角色信息，角色用于分配给用户系统的操作权限和数据权限。</w:t>
                  </w:r>
                </w:p>
              </w:tc>
            </w:tr>
            <w:tr w14:paraId="586D4534">
              <w:tblPrEx>
                <w:tblCellMar>
                  <w:top w:w="0" w:type="dxa"/>
                  <w:left w:w="108" w:type="dxa"/>
                  <w:bottom w:w="0" w:type="dxa"/>
                  <w:right w:w="108" w:type="dxa"/>
                </w:tblCellMar>
              </w:tblPrEx>
              <w:trPr>
                <w:trHeight w:val="510"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05108D2D">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15</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6704976A">
                  <w:pPr>
                    <w:jc w:val="center"/>
                    <w:rPr>
                      <w:rFonts w:hint="eastAsia" w:ascii="宋体" w:hAnsi="宋体" w:eastAsia="宋体" w:cs="宋体"/>
                      <w:b/>
                      <w:bCs/>
                      <w:color w:val="auto"/>
                      <w:sz w:val="18"/>
                      <w:szCs w:val="18"/>
                      <w:highlight w:val="none"/>
                    </w:rPr>
                  </w:pPr>
                </w:p>
              </w:tc>
              <w:tc>
                <w:tcPr>
                  <w:tcW w:w="910" w:type="pct"/>
                  <w:vMerge w:val="restart"/>
                  <w:tcBorders>
                    <w:top w:val="single" w:color="000000" w:sz="4" w:space="0"/>
                    <w:left w:val="single" w:color="000000" w:sz="4" w:space="0"/>
                    <w:bottom w:val="single" w:color="000000" w:sz="4" w:space="0"/>
                    <w:right w:val="single" w:color="000000" w:sz="4" w:space="0"/>
                  </w:tcBorders>
                  <w:vAlign w:val="center"/>
                </w:tcPr>
                <w:p w14:paraId="3631B3D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系统日志</w:t>
                  </w:r>
                </w:p>
              </w:tc>
              <w:tc>
                <w:tcPr>
                  <w:tcW w:w="3039" w:type="pct"/>
                  <w:tcBorders>
                    <w:top w:val="single" w:color="000000" w:sz="4" w:space="0"/>
                    <w:left w:val="single" w:color="000000" w:sz="4" w:space="0"/>
                    <w:bottom w:val="single" w:color="000000" w:sz="4" w:space="0"/>
                    <w:right w:val="single" w:color="000000" w:sz="4" w:space="0"/>
                  </w:tcBorders>
                  <w:vAlign w:val="center"/>
                </w:tcPr>
                <w:p w14:paraId="2BCC51DD">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支持查看、创建、管理使用系统的角色信息，角色用于分配给用户系统的操作权限和数据权限。</w:t>
                  </w:r>
                </w:p>
              </w:tc>
            </w:tr>
            <w:tr w14:paraId="60C12760">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7304C563">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16</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19155D94">
                  <w:pPr>
                    <w:jc w:val="center"/>
                    <w:rPr>
                      <w:rFonts w:hint="eastAsia" w:ascii="宋体" w:hAnsi="宋体" w:eastAsia="宋体" w:cs="宋体"/>
                      <w:b/>
                      <w:bCs/>
                      <w:color w:val="auto"/>
                      <w:sz w:val="18"/>
                      <w:szCs w:val="18"/>
                      <w:highlight w:val="none"/>
                    </w:rPr>
                  </w:pPr>
                </w:p>
              </w:tc>
              <w:tc>
                <w:tcPr>
                  <w:tcW w:w="910" w:type="pct"/>
                  <w:vMerge w:val="continue"/>
                  <w:tcBorders>
                    <w:top w:val="single" w:color="000000" w:sz="4" w:space="0"/>
                    <w:left w:val="single" w:color="000000" w:sz="4" w:space="0"/>
                    <w:bottom w:val="single" w:color="000000" w:sz="4" w:space="0"/>
                    <w:right w:val="single" w:color="000000" w:sz="4" w:space="0"/>
                  </w:tcBorders>
                  <w:vAlign w:val="center"/>
                </w:tcPr>
                <w:p w14:paraId="63B3BEEB">
                  <w:pPr>
                    <w:rPr>
                      <w:rFonts w:hint="eastAsia" w:ascii="宋体" w:hAnsi="宋体" w:eastAsia="宋体" w:cs="宋体"/>
                      <w:color w:val="auto"/>
                      <w:sz w:val="18"/>
                      <w:szCs w:val="18"/>
                      <w:highlight w:val="none"/>
                    </w:rPr>
                  </w:pPr>
                </w:p>
              </w:tc>
              <w:tc>
                <w:tcPr>
                  <w:tcW w:w="3039" w:type="pct"/>
                  <w:tcBorders>
                    <w:top w:val="single" w:color="000000" w:sz="4" w:space="0"/>
                    <w:left w:val="single" w:color="000000" w:sz="4" w:space="0"/>
                    <w:bottom w:val="single" w:color="000000" w:sz="4" w:space="0"/>
                    <w:right w:val="single" w:color="000000" w:sz="4" w:space="0"/>
                  </w:tcBorders>
                  <w:vAlign w:val="center"/>
                </w:tcPr>
                <w:p w14:paraId="01B03A81">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系统操作日志</w:t>
                  </w:r>
                </w:p>
              </w:tc>
            </w:tr>
            <w:tr w14:paraId="442DB74D">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6D1076C6">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17</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2BA9862A">
                  <w:pPr>
                    <w:jc w:val="center"/>
                    <w:rPr>
                      <w:rFonts w:hint="eastAsia" w:ascii="宋体" w:hAnsi="宋体" w:eastAsia="宋体" w:cs="宋体"/>
                      <w:b/>
                      <w:bCs/>
                      <w:color w:val="auto"/>
                      <w:sz w:val="18"/>
                      <w:szCs w:val="18"/>
                      <w:highlight w:val="none"/>
                    </w:rPr>
                  </w:pPr>
                </w:p>
              </w:tc>
              <w:tc>
                <w:tcPr>
                  <w:tcW w:w="910" w:type="pct"/>
                  <w:vMerge w:val="continue"/>
                  <w:tcBorders>
                    <w:top w:val="single" w:color="000000" w:sz="4" w:space="0"/>
                    <w:left w:val="single" w:color="000000" w:sz="4" w:space="0"/>
                    <w:bottom w:val="single" w:color="000000" w:sz="4" w:space="0"/>
                    <w:right w:val="single" w:color="000000" w:sz="4" w:space="0"/>
                  </w:tcBorders>
                  <w:vAlign w:val="center"/>
                </w:tcPr>
                <w:p w14:paraId="218CB308">
                  <w:pPr>
                    <w:rPr>
                      <w:rFonts w:hint="eastAsia" w:ascii="宋体" w:hAnsi="宋体" w:eastAsia="宋体" w:cs="宋体"/>
                      <w:color w:val="auto"/>
                      <w:sz w:val="18"/>
                      <w:szCs w:val="18"/>
                      <w:highlight w:val="none"/>
                    </w:rPr>
                  </w:pPr>
                </w:p>
              </w:tc>
              <w:tc>
                <w:tcPr>
                  <w:tcW w:w="3039" w:type="pct"/>
                  <w:tcBorders>
                    <w:top w:val="single" w:color="000000" w:sz="4" w:space="0"/>
                    <w:left w:val="single" w:color="000000" w:sz="4" w:space="0"/>
                    <w:bottom w:val="single" w:color="000000" w:sz="4" w:space="0"/>
                    <w:right w:val="single" w:color="000000" w:sz="4" w:space="0"/>
                  </w:tcBorders>
                  <w:vAlign w:val="center"/>
                </w:tcPr>
                <w:p w14:paraId="2DBCEF1B">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系统运行日志</w:t>
                  </w:r>
                </w:p>
              </w:tc>
            </w:tr>
            <w:tr w14:paraId="1EED1A5F">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28DDCC4E">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18</w:t>
                  </w:r>
                </w:p>
              </w:tc>
              <w:tc>
                <w:tcPr>
                  <w:tcW w:w="621" w:type="pct"/>
                  <w:vMerge w:val="restart"/>
                  <w:tcBorders>
                    <w:top w:val="single" w:color="000000" w:sz="4" w:space="0"/>
                    <w:left w:val="single" w:color="000000" w:sz="4" w:space="0"/>
                    <w:bottom w:val="single" w:color="000000" w:sz="4" w:space="0"/>
                    <w:right w:val="single" w:color="000000" w:sz="4" w:space="0"/>
                  </w:tcBorders>
                  <w:vAlign w:val="center"/>
                </w:tcPr>
                <w:p w14:paraId="5FF3A32D">
                  <w:pPr>
                    <w:jc w:val="center"/>
                    <w:textAlignment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lang w:bidi="ar"/>
                    </w:rPr>
                    <w:t>接口管理</w:t>
                  </w:r>
                </w:p>
              </w:tc>
              <w:tc>
                <w:tcPr>
                  <w:tcW w:w="910" w:type="pct"/>
                  <w:tcBorders>
                    <w:top w:val="single" w:color="000000" w:sz="4" w:space="0"/>
                    <w:left w:val="single" w:color="000000" w:sz="4" w:space="0"/>
                    <w:bottom w:val="single" w:color="000000" w:sz="4" w:space="0"/>
                    <w:right w:val="single" w:color="000000" w:sz="4" w:space="0"/>
                  </w:tcBorders>
                  <w:vAlign w:val="center"/>
                </w:tcPr>
                <w:p w14:paraId="20C7E332">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任务接收</w:t>
                  </w:r>
                </w:p>
              </w:tc>
              <w:tc>
                <w:tcPr>
                  <w:tcW w:w="3039" w:type="pct"/>
                  <w:tcBorders>
                    <w:top w:val="single" w:color="000000" w:sz="4" w:space="0"/>
                    <w:left w:val="single" w:color="000000" w:sz="4" w:space="0"/>
                    <w:bottom w:val="single" w:color="000000" w:sz="4" w:space="0"/>
                    <w:right w:val="single" w:color="000000" w:sz="4" w:space="0"/>
                  </w:tcBorders>
                  <w:vAlign w:val="center"/>
                </w:tcPr>
                <w:p w14:paraId="2F63B395">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接收上游业务系统的任务数据</w:t>
                  </w:r>
                </w:p>
              </w:tc>
            </w:tr>
            <w:tr w14:paraId="449D56D0">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09196DAE">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19</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2F916469">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77C5CC75">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任务处理</w:t>
                  </w:r>
                </w:p>
              </w:tc>
              <w:tc>
                <w:tcPr>
                  <w:tcW w:w="3039" w:type="pct"/>
                  <w:tcBorders>
                    <w:top w:val="single" w:color="000000" w:sz="4" w:space="0"/>
                    <w:left w:val="single" w:color="000000" w:sz="4" w:space="0"/>
                    <w:bottom w:val="single" w:color="000000" w:sz="4" w:space="0"/>
                    <w:right w:val="single" w:color="000000" w:sz="4" w:space="0"/>
                  </w:tcBorders>
                  <w:vAlign w:val="center"/>
                </w:tcPr>
                <w:p w14:paraId="7A41AD2B">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处理上游业务系统的任务数据</w:t>
                  </w:r>
                </w:p>
              </w:tc>
            </w:tr>
            <w:tr w14:paraId="1AE1D6BF">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63183DB5">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20</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340421EB">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1D96140F">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任务发送</w:t>
                  </w:r>
                </w:p>
              </w:tc>
              <w:tc>
                <w:tcPr>
                  <w:tcW w:w="3039" w:type="pct"/>
                  <w:tcBorders>
                    <w:top w:val="single" w:color="000000" w:sz="4" w:space="0"/>
                    <w:left w:val="single" w:color="000000" w:sz="4" w:space="0"/>
                    <w:bottom w:val="single" w:color="000000" w:sz="4" w:space="0"/>
                    <w:right w:val="single" w:color="000000" w:sz="4" w:space="0"/>
                  </w:tcBorders>
                  <w:vAlign w:val="center"/>
                </w:tcPr>
                <w:p w14:paraId="218C3534">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发送处理后的数据给电气设备控制系统</w:t>
                  </w:r>
                </w:p>
              </w:tc>
            </w:tr>
            <w:tr w14:paraId="3568B1D7">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64F82278">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21</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1E4F4191">
                  <w:pPr>
                    <w:jc w:val="center"/>
                    <w:rPr>
                      <w:rFonts w:hint="eastAsia" w:ascii="宋体" w:hAnsi="宋体" w:eastAsia="宋体" w:cs="宋体"/>
                      <w:b/>
                      <w:bCs/>
                      <w:color w:val="auto"/>
                      <w:sz w:val="18"/>
                      <w:szCs w:val="18"/>
                      <w:highlight w:val="none"/>
                    </w:rPr>
                  </w:pPr>
                </w:p>
              </w:tc>
              <w:tc>
                <w:tcPr>
                  <w:tcW w:w="910" w:type="pct"/>
                  <w:vMerge w:val="restart"/>
                  <w:tcBorders>
                    <w:top w:val="single" w:color="000000" w:sz="4" w:space="0"/>
                    <w:left w:val="single" w:color="000000" w:sz="4" w:space="0"/>
                    <w:bottom w:val="single" w:color="000000" w:sz="4" w:space="0"/>
                    <w:right w:val="single" w:color="000000" w:sz="4" w:space="0"/>
                  </w:tcBorders>
                  <w:vAlign w:val="center"/>
                </w:tcPr>
                <w:p w14:paraId="619327B3">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任务监视</w:t>
                  </w:r>
                </w:p>
              </w:tc>
              <w:tc>
                <w:tcPr>
                  <w:tcW w:w="3039" w:type="pct"/>
                  <w:tcBorders>
                    <w:top w:val="single" w:color="000000" w:sz="4" w:space="0"/>
                    <w:left w:val="single" w:color="000000" w:sz="4" w:space="0"/>
                    <w:bottom w:val="single" w:color="000000" w:sz="4" w:space="0"/>
                    <w:right w:val="single" w:color="000000" w:sz="4" w:space="0"/>
                  </w:tcBorders>
                  <w:vAlign w:val="center"/>
                </w:tcPr>
                <w:p w14:paraId="6566D791">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主要完成指令状态的监视，如已完成、未完成等</w:t>
                  </w:r>
                </w:p>
              </w:tc>
            </w:tr>
            <w:tr w14:paraId="44485C2E">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0C7B489F">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22</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709DA21F">
                  <w:pPr>
                    <w:jc w:val="center"/>
                    <w:rPr>
                      <w:rFonts w:hint="eastAsia" w:ascii="宋体" w:hAnsi="宋体" w:eastAsia="宋体" w:cs="宋体"/>
                      <w:b/>
                      <w:bCs/>
                      <w:color w:val="auto"/>
                      <w:sz w:val="18"/>
                      <w:szCs w:val="18"/>
                      <w:highlight w:val="none"/>
                    </w:rPr>
                  </w:pPr>
                </w:p>
              </w:tc>
              <w:tc>
                <w:tcPr>
                  <w:tcW w:w="910" w:type="pct"/>
                  <w:vMerge w:val="continue"/>
                  <w:tcBorders>
                    <w:top w:val="single" w:color="000000" w:sz="4" w:space="0"/>
                    <w:left w:val="single" w:color="000000" w:sz="4" w:space="0"/>
                    <w:bottom w:val="single" w:color="000000" w:sz="4" w:space="0"/>
                    <w:right w:val="single" w:color="000000" w:sz="4" w:space="0"/>
                  </w:tcBorders>
                  <w:vAlign w:val="center"/>
                </w:tcPr>
                <w:p w14:paraId="6A617F76">
                  <w:pPr>
                    <w:rPr>
                      <w:rFonts w:hint="eastAsia" w:ascii="宋体" w:hAnsi="宋体" w:eastAsia="宋体" w:cs="宋体"/>
                      <w:color w:val="auto"/>
                      <w:sz w:val="18"/>
                      <w:szCs w:val="18"/>
                      <w:highlight w:val="none"/>
                    </w:rPr>
                  </w:pPr>
                </w:p>
              </w:tc>
              <w:tc>
                <w:tcPr>
                  <w:tcW w:w="3039" w:type="pct"/>
                  <w:tcBorders>
                    <w:top w:val="single" w:color="000000" w:sz="4" w:space="0"/>
                    <w:left w:val="single" w:color="000000" w:sz="4" w:space="0"/>
                    <w:bottom w:val="single" w:color="000000" w:sz="4" w:space="0"/>
                    <w:right w:val="single" w:color="000000" w:sz="4" w:space="0"/>
                  </w:tcBorders>
                  <w:vAlign w:val="center"/>
                </w:tcPr>
                <w:p w14:paraId="3963C9FA">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支持输送线作业状态监控</w:t>
                  </w:r>
                </w:p>
              </w:tc>
            </w:tr>
            <w:tr w14:paraId="6FDA1B52">
              <w:tblPrEx>
                <w:tblCellMar>
                  <w:top w:w="0" w:type="dxa"/>
                  <w:left w:w="108" w:type="dxa"/>
                  <w:bottom w:w="0" w:type="dxa"/>
                  <w:right w:w="108" w:type="dxa"/>
                </w:tblCellMar>
              </w:tblPrEx>
              <w:trPr>
                <w:trHeight w:val="315" w:hRule="atLeast"/>
              </w:trPr>
              <w:tc>
                <w:tcPr>
                  <w:tcW w:w="429" w:type="pct"/>
                  <w:tcBorders>
                    <w:top w:val="single" w:color="000000" w:sz="4" w:space="0"/>
                    <w:left w:val="single" w:color="000000" w:sz="4" w:space="0"/>
                    <w:bottom w:val="single" w:color="000000" w:sz="4" w:space="0"/>
                    <w:right w:val="single" w:color="000000" w:sz="4" w:space="0"/>
                  </w:tcBorders>
                  <w:vAlign w:val="center"/>
                </w:tcPr>
                <w:p w14:paraId="27051AD1">
                  <w:pPr>
                    <w:jc w:val="cente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23</w:t>
                  </w:r>
                </w:p>
              </w:tc>
              <w:tc>
                <w:tcPr>
                  <w:tcW w:w="621" w:type="pct"/>
                  <w:vMerge w:val="continue"/>
                  <w:tcBorders>
                    <w:top w:val="single" w:color="000000" w:sz="4" w:space="0"/>
                    <w:left w:val="single" w:color="000000" w:sz="4" w:space="0"/>
                    <w:bottom w:val="single" w:color="000000" w:sz="4" w:space="0"/>
                    <w:right w:val="single" w:color="000000" w:sz="4" w:space="0"/>
                  </w:tcBorders>
                  <w:vAlign w:val="center"/>
                </w:tcPr>
                <w:p w14:paraId="09E2900E">
                  <w:pPr>
                    <w:jc w:val="center"/>
                    <w:rPr>
                      <w:rFonts w:hint="eastAsia" w:ascii="宋体" w:hAnsi="宋体" w:eastAsia="宋体" w:cs="宋体"/>
                      <w:b/>
                      <w:bCs/>
                      <w:color w:val="auto"/>
                      <w:sz w:val="18"/>
                      <w:szCs w:val="18"/>
                      <w:highlight w:val="none"/>
                    </w:rPr>
                  </w:pPr>
                </w:p>
              </w:tc>
              <w:tc>
                <w:tcPr>
                  <w:tcW w:w="910" w:type="pct"/>
                  <w:tcBorders>
                    <w:top w:val="single" w:color="000000" w:sz="4" w:space="0"/>
                    <w:left w:val="single" w:color="000000" w:sz="4" w:space="0"/>
                    <w:bottom w:val="single" w:color="000000" w:sz="4" w:space="0"/>
                    <w:right w:val="single" w:color="000000" w:sz="4" w:space="0"/>
                  </w:tcBorders>
                  <w:vAlign w:val="center"/>
                </w:tcPr>
                <w:p w14:paraId="53BD318A">
                  <w:pPr>
                    <w:textAlignment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bidi="ar"/>
                    </w:rPr>
                    <w:t>任务反馈上游系统</w:t>
                  </w:r>
                </w:p>
              </w:tc>
              <w:tc>
                <w:tcPr>
                  <w:tcW w:w="3039" w:type="pct"/>
                  <w:tcBorders>
                    <w:top w:val="single" w:color="000000" w:sz="4" w:space="0"/>
                    <w:left w:val="single" w:color="000000" w:sz="4" w:space="0"/>
                    <w:bottom w:val="single" w:color="000000" w:sz="4" w:space="0"/>
                    <w:right w:val="single" w:color="000000" w:sz="4" w:space="0"/>
                  </w:tcBorders>
                  <w:vAlign w:val="center"/>
                </w:tcPr>
                <w:p w14:paraId="1C226DC7">
                  <w:pPr>
                    <w:textAlignment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bidi="ar"/>
                    </w:rPr>
                    <w:t>支持任务完成情况反馈给上游系统</w:t>
                  </w:r>
                </w:p>
              </w:tc>
            </w:tr>
          </w:tbl>
          <w:p w14:paraId="1D570331">
            <w:pPr>
              <w:textAlignment w:val="center"/>
              <w:rPr>
                <w:rFonts w:hint="eastAsia" w:ascii="宋体" w:hAnsi="宋体" w:eastAsia="宋体" w:cs="宋体"/>
                <w:color w:val="auto"/>
                <w:sz w:val="20"/>
                <w:szCs w:val="20"/>
                <w:highlight w:val="none"/>
                <w:lang w:eastAsia="zh-CN"/>
              </w:rPr>
            </w:pPr>
          </w:p>
        </w:tc>
      </w:tr>
      <w:tr w14:paraId="2BC17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E22541E">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601FD8F">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7CC672E1">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1套</w:t>
            </w:r>
          </w:p>
        </w:tc>
        <w:tc>
          <w:tcPr>
            <w:tcW w:w="3942" w:type="pct"/>
            <w:shd w:val="clear" w:color="auto" w:fill="auto"/>
            <w:vAlign w:val="center"/>
          </w:tcPr>
          <w:p w14:paraId="056917C4">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中控室设备监控画面采用平面图形界面，可显示各设备的运行状态，包括系统的通讯状态、故障信息等。</w:t>
            </w:r>
          </w:p>
        </w:tc>
      </w:tr>
      <w:tr w14:paraId="1D732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748D5FF">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0465BD3">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7B8F5F7B">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2台</w:t>
            </w:r>
          </w:p>
        </w:tc>
        <w:tc>
          <w:tcPr>
            <w:tcW w:w="3942" w:type="pct"/>
            <w:shd w:val="clear" w:color="auto" w:fill="auto"/>
            <w:vAlign w:val="center"/>
          </w:tcPr>
          <w:p w14:paraId="263D6C5F">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AU"/>
              </w:rPr>
              <w:t>数据库服务器选用</w:t>
            </w:r>
            <w:r>
              <w:rPr>
                <w:rFonts w:hint="eastAsia" w:ascii="宋体" w:hAnsi="宋体" w:eastAsia="宋体" w:cs="宋体"/>
                <w:color w:val="auto"/>
                <w:highlight w:val="none"/>
                <w:lang w:eastAsia="zh-CN"/>
              </w:rPr>
              <w:t>国际一线品牌</w:t>
            </w:r>
            <w:r>
              <w:rPr>
                <w:rFonts w:hint="eastAsia" w:ascii="宋体" w:hAnsi="宋体" w:eastAsia="宋体" w:cs="宋体"/>
                <w:color w:val="auto"/>
                <w:highlight w:val="none"/>
                <w:lang w:val="en-AU"/>
              </w:rPr>
              <w:t>机架式服务器，磁盘阵列+双机备份系统(机架式)；配置不低于1xBronze 3204,  4x16G DDR4,5x2T SATA,8x3.5“盘位, 530i Raid 0,1,5,2x1G NIC（Onboard）,550W白金，键鼠，21寸显示器</w:t>
            </w:r>
            <w:r>
              <w:rPr>
                <w:rFonts w:hint="eastAsia" w:ascii="宋体" w:hAnsi="宋体" w:eastAsia="宋体" w:cs="宋体"/>
                <w:color w:val="auto"/>
                <w:highlight w:val="none"/>
                <w:lang w:val="en-AU" w:eastAsia="zh-CN"/>
              </w:rPr>
              <w:t>。</w:t>
            </w:r>
          </w:p>
        </w:tc>
      </w:tr>
      <w:tr w14:paraId="2218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669C46C5">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453CED5">
            <w:pPr>
              <w:jc w:val="center"/>
              <w:textAlignment w:val="center"/>
              <w:rPr>
                <w:rFonts w:hint="eastAsia" w:ascii="宋体" w:hAnsi="宋体" w:eastAsia="宋体" w:cs="宋体"/>
                <w:color w:val="auto"/>
                <w:sz w:val="20"/>
                <w:szCs w:val="20"/>
                <w:highlight w:val="none"/>
              </w:rPr>
            </w:pPr>
          </w:p>
        </w:tc>
        <w:tc>
          <w:tcPr>
            <w:tcW w:w="398" w:type="pct"/>
            <w:shd w:val="clear" w:color="auto" w:fill="auto"/>
            <w:vAlign w:val="center"/>
          </w:tcPr>
          <w:p w14:paraId="6C380CC8">
            <w:pPr>
              <w:spacing w:line="360" w:lineRule="auto"/>
              <w:rPr>
                <w:rFonts w:hint="eastAsia" w:ascii="宋体" w:hAnsi="宋体" w:eastAsia="宋体" w:cs="宋体"/>
                <w:color w:val="auto"/>
                <w:highlight w:val="none"/>
                <w:lang w:val="en-AU"/>
              </w:rPr>
            </w:pPr>
            <w:r>
              <w:rPr>
                <w:rFonts w:hint="eastAsia" w:ascii="宋体" w:hAnsi="宋体" w:eastAsia="宋体" w:cs="宋体"/>
                <w:color w:val="auto"/>
                <w:highlight w:val="none"/>
                <w:lang w:eastAsia="zh-CN"/>
              </w:rPr>
              <w:t>2套</w:t>
            </w:r>
          </w:p>
        </w:tc>
        <w:tc>
          <w:tcPr>
            <w:tcW w:w="3942" w:type="pct"/>
            <w:shd w:val="clear" w:color="auto" w:fill="auto"/>
            <w:vAlign w:val="center"/>
          </w:tcPr>
          <w:p w14:paraId="6E327DFE">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AU"/>
              </w:rPr>
              <w:t>数据库选用正版Oracle、SQL Server等关系型数据库；</w:t>
            </w:r>
          </w:p>
        </w:tc>
      </w:tr>
      <w:tr w14:paraId="7878D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FAB727C">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F53D49E">
            <w:pPr>
              <w:jc w:val="center"/>
              <w:textAlignment w:val="center"/>
              <w:rPr>
                <w:rFonts w:hint="eastAsia" w:ascii="宋体" w:hAnsi="宋体" w:eastAsia="宋体" w:cs="宋体"/>
                <w:color w:val="auto"/>
                <w:sz w:val="20"/>
                <w:szCs w:val="20"/>
                <w:highlight w:val="none"/>
              </w:rPr>
            </w:pPr>
          </w:p>
        </w:tc>
        <w:tc>
          <w:tcPr>
            <w:tcW w:w="398" w:type="pct"/>
            <w:shd w:val="clear" w:color="auto" w:fill="auto"/>
            <w:vAlign w:val="center"/>
          </w:tcPr>
          <w:p w14:paraId="63D69B34">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eastAsia="zh-CN"/>
              </w:rPr>
              <w:t>2套</w:t>
            </w:r>
          </w:p>
        </w:tc>
        <w:tc>
          <w:tcPr>
            <w:tcW w:w="3942" w:type="pct"/>
            <w:shd w:val="clear" w:color="auto" w:fill="auto"/>
            <w:vAlign w:val="center"/>
          </w:tcPr>
          <w:p w14:paraId="1E107583">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操作系统均选用正版Windows系统或同等响应认可的系统；</w:t>
            </w:r>
          </w:p>
        </w:tc>
      </w:tr>
      <w:tr w14:paraId="63D24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4F5CF47A">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3C1BC111">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2127D38E">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eastAsia="zh-CN"/>
              </w:rPr>
              <w:t>2台</w:t>
            </w:r>
          </w:p>
        </w:tc>
        <w:tc>
          <w:tcPr>
            <w:tcW w:w="3942" w:type="pct"/>
            <w:shd w:val="clear" w:color="auto" w:fill="auto"/>
            <w:vAlign w:val="center"/>
          </w:tcPr>
          <w:p w14:paraId="0FCA6D5D">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乙方提供</w:t>
            </w:r>
            <w:r>
              <w:rPr>
                <w:rFonts w:hint="eastAsia" w:ascii="宋体" w:hAnsi="宋体" w:eastAsia="宋体" w:cs="宋体"/>
                <w:color w:val="auto"/>
                <w:highlight w:val="none"/>
                <w:lang w:eastAsia="zh-CN"/>
              </w:rPr>
              <w:t>WMS、</w:t>
            </w:r>
            <w:r>
              <w:rPr>
                <w:rFonts w:hint="eastAsia" w:ascii="宋体" w:hAnsi="宋体" w:eastAsia="宋体" w:cs="宋体"/>
                <w:color w:val="auto"/>
                <w:highlight w:val="none"/>
                <w:lang w:val="en-AU" w:eastAsia="zh-CN"/>
              </w:rPr>
              <w:t>WCS系统以及单机控制系统所需的电脑。</w:t>
            </w:r>
          </w:p>
        </w:tc>
      </w:tr>
      <w:tr w14:paraId="0954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50DD49E">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4EA26014">
            <w:pPr>
              <w:jc w:val="center"/>
              <w:textAlignment w:val="center"/>
              <w:rPr>
                <w:rFonts w:hint="eastAsia" w:ascii="宋体" w:hAnsi="宋体" w:eastAsia="宋体" w:cs="宋体"/>
                <w:color w:val="auto"/>
                <w:sz w:val="20"/>
                <w:szCs w:val="20"/>
                <w:highlight w:val="none"/>
              </w:rPr>
            </w:pPr>
          </w:p>
        </w:tc>
        <w:tc>
          <w:tcPr>
            <w:tcW w:w="398" w:type="pct"/>
            <w:shd w:val="clear" w:color="auto" w:fill="auto"/>
            <w:vAlign w:val="center"/>
          </w:tcPr>
          <w:p w14:paraId="579718BD">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eastAsia="zh-CN"/>
              </w:rPr>
              <w:t>2台</w:t>
            </w:r>
          </w:p>
        </w:tc>
        <w:tc>
          <w:tcPr>
            <w:tcW w:w="3942" w:type="pct"/>
            <w:shd w:val="clear" w:color="auto" w:fill="auto"/>
            <w:vAlign w:val="center"/>
          </w:tcPr>
          <w:p w14:paraId="464CBF53">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AU" w:eastAsia="zh-CN"/>
              </w:rPr>
              <w:t>电脑配置32G内存/1T硬盘/21寸/DVD/鼠标/键盘/Win11。</w:t>
            </w:r>
          </w:p>
        </w:tc>
      </w:tr>
      <w:tr w14:paraId="6ED4D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0FB4270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D48F1F6">
            <w:pPr>
              <w:jc w:val="center"/>
              <w:textAlignment w:val="center"/>
              <w:rPr>
                <w:rFonts w:hint="eastAsia" w:ascii="宋体" w:hAnsi="宋体" w:eastAsia="宋体" w:cs="宋体"/>
                <w:color w:val="auto"/>
                <w:sz w:val="20"/>
                <w:szCs w:val="20"/>
                <w:highlight w:val="none"/>
              </w:rPr>
            </w:pPr>
          </w:p>
        </w:tc>
        <w:tc>
          <w:tcPr>
            <w:tcW w:w="398" w:type="pct"/>
            <w:shd w:val="clear" w:color="auto" w:fill="auto"/>
            <w:vAlign w:val="center"/>
          </w:tcPr>
          <w:p w14:paraId="2A43681D">
            <w:pPr>
              <w:spacing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5台</w:t>
            </w:r>
          </w:p>
        </w:tc>
        <w:tc>
          <w:tcPr>
            <w:tcW w:w="3942" w:type="pct"/>
            <w:shd w:val="clear" w:color="auto" w:fill="auto"/>
            <w:vAlign w:val="center"/>
          </w:tcPr>
          <w:p w14:paraId="42771E5E">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AU" w:eastAsia="zh-CN"/>
              </w:rPr>
              <w:t>RF无线手持终端选用操作系统为安卓</w:t>
            </w:r>
            <w:r>
              <w:rPr>
                <w:rFonts w:hint="eastAsia" w:ascii="宋体" w:hAnsi="宋体" w:eastAsia="宋体" w:cs="宋体"/>
                <w:color w:val="auto"/>
                <w:highlight w:val="none"/>
                <w:lang w:eastAsia="zh-CN"/>
              </w:rPr>
              <w:t>或IOS</w:t>
            </w:r>
            <w:r>
              <w:rPr>
                <w:rFonts w:hint="eastAsia" w:ascii="宋体" w:hAnsi="宋体" w:eastAsia="宋体" w:cs="宋体"/>
                <w:color w:val="auto"/>
                <w:highlight w:val="none"/>
                <w:lang w:val="en-AU" w:eastAsia="zh-CN"/>
              </w:rPr>
              <w:t>平台，屏幕大、方便操作的手持终端。手持终端品牌为</w:t>
            </w:r>
            <w:r>
              <w:rPr>
                <w:rFonts w:hint="eastAsia" w:ascii="宋体" w:hAnsi="宋体" w:eastAsia="宋体" w:cs="宋体"/>
                <w:color w:val="auto"/>
                <w:highlight w:val="none"/>
                <w:lang w:eastAsia="zh-CN"/>
              </w:rPr>
              <w:t>一线品牌</w:t>
            </w:r>
          </w:p>
        </w:tc>
      </w:tr>
      <w:tr w14:paraId="7B2B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67858B3">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1EFC23E">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7C336CE2">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65FB77B3">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软件程序设计能安全可靠实现所有功能要求；</w:t>
            </w:r>
          </w:p>
        </w:tc>
      </w:tr>
      <w:tr w14:paraId="5635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EC43450">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2817CB16">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207CAC83">
            <w:pPr>
              <w:spacing w:line="360" w:lineRule="auto"/>
              <w:rPr>
                <w:rFonts w:hint="eastAsia" w:ascii="宋体" w:hAnsi="宋体" w:eastAsia="宋体" w:cs="宋体"/>
                <w:bCs/>
                <w:color w:val="auto"/>
                <w:highlight w:val="none"/>
                <w:lang w:val="en-AU" w:eastAsia="zh-CN"/>
              </w:rPr>
            </w:pPr>
          </w:p>
        </w:tc>
        <w:tc>
          <w:tcPr>
            <w:tcW w:w="3942" w:type="pct"/>
            <w:shd w:val="clear" w:color="auto" w:fill="auto"/>
            <w:vAlign w:val="center"/>
          </w:tcPr>
          <w:p w14:paraId="33D6E5A8">
            <w:pPr>
              <w:spacing w:line="360" w:lineRule="auto"/>
              <w:rPr>
                <w:rFonts w:hint="eastAsia" w:ascii="宋体" w:hAnsi="宋体" w:eastAsia="宋体" w:cs="宋体"/>
                <w:color w:val="auto"/>
                <w:highlight w:val="none"/>
                <w:lang w:val="en-AU" w:eastAsia="zh-CN"/>
              </w:rPr>
            </w:pPr>
            <w:r>
              <w:rPr>
                <w:rFonts w:hint="eastAsia" w:ascii="宋体" w:hAnsi="宋体" w:eastAsia="宋体" w:cs="宋体"/>
                <w:bCs/>
                <w:color w:val="auto"/>
                <w:highlight w:val="none"/>
                <w:lang w:val="en-AU" w:eastAsia="zh-CN"/>
              </w:rPr>
              <w:t>WCS有操作员基础信息管理、管理员权限分配、任务调度、设备管理、任务跟踪、入库策略（四向车任务均衡）、出库策略（接驳位任务均衡、操作口任务均衡）等功能。</w:t>
            </w:r>
          </w:p>
        </w:tc>
      </w:tr>
      <w:tr w14:paraId="6585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517105E9">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7FC8DFD">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1E57EBF1">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2EE014A7">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WCS具有运行参数设置功能；</w:t>
            </w:r>
          </w:p>
        </w:tc>
      </w:tr>
      <w:tr w14:paraId="0F850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E4F727D">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08E7EFD1">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4D44F570">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44E7E690">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WCS能执行人工指令，通过单机指令或者单机任务的方式将货物搬运至指定的位置上；</w:t>
            </w:r>
          </w:p>
        </w:tc>
      </w:tr>
      <w:tr w14:paraId="1B6F3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7C76AE14">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00123EF">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744A96EB">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76CC6C9A">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提供符合Windows标准或同等配套系统的友好的人机界面，方便人员操作。客户端操作系统需使用Windows10及以上版本，客户端软件应可以自动更新；</w:t>
            </w:r>
          </w:p>
        </w:tc>
      </w:tr>
      <w:tr w14:paraId="50168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14690156">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1B64FB4A">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1C5A6275">
            <w:pPr>
              <w:spacing w:line="360" w:lineRule="auto"/>
              <w:rPr>
                <w:rFonts w:hint="eastAsia" w:ascii="宋体" w:hAnsi="宋体" w:eastAsia="宋体" w:cs="宋体"/>
                <w:color w:val="auto"/>
                <w:highlight w:val="none"/>
                <w:lang w:val="en-AU" w:eastAsia="zh-CN"/>
              </w:rPr>
            </w:pPr>
          </w:p>
        </w:tc>
        <w:tc>
          <w:tcPr>
            <w:tcW w:w="3942" w:type="pct"/>
            <w:shd w:val="clear" w:color="auto" w:fill="auto"/>
            <w:vAlign w:val="center"/>
          </w:tcPr>
          <w:p w14:paraId="0C08FE75">
            <w:pPr>
              <w:spacing w:line="360" w:lineRule="auto"/>
              <w:rPr>
                <w:rFonts w:hint="eastAsia" w:ascii="宋体" w:hAnsi="宋体" w:eastAsia="宋体" w:cs="宋体"/>
                <w:color w:val="auto"/>
                <w:highlight w:val="none"/>
                <w:lang w:val="en-AU" w:eastAsia="zh-CN"/>
              </w:rPr>
            </w:pPr>
            <w:r>
              <w:rPr>
                <w:rFonts w:hint="eastAsia" w:ascii="宋体" w:hAnsi="宋体" w:eastAsia="宋体" w:cs="宋体"/>
                <w:color w:val="auto"/>
                <w:highlight w:val="none"/>
                <w:lang w:val="en-AU" w:eastAsia="zh-CN"/>
              </w:rPr>
              <w:t>RF手持终端应能与计算机进行可靠的即时通讯。 RF手持终端应能显示完整的相关信息，如出入库品种、批号、数量，出库的订单号等，并具有读码功能，可多终端同时使用不发生冲突和错乱。</w:t>
            </w:r>
          </w:p>
        </w:tc>
      </w:tr>
      <w:tr w14:paraId="2C7C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7" w:type="pct"/>
            <w:vMerge w:val="restart"/>
            <w:shd w:val="clear" w:color="auto" w:fill="auto"/>
            <w:noWrap/>
            <w:vAlign w:val="center"/>
          </w:tcPr>
          <w:p w14:paraId="0B5162AD">
            <w:pPr>
              <w:jc w:val="center"/>
              <w:textAlignment w:val="center"/>
              <w:rPr>
                <w:rFonts w:hint="eastAsia" w:ascii="宋体" w:hAnsi="宋体" w:eastAsia="宋体" w:cs="宋体"/>
                <w:color w:val="auto"/>
                <w:sz w:val="20"/>
                <w:szCs w:val="20"/>
                <w:highlight w:val="none"/>
                <w:lang w:eastAsia="zh-CN" w:bidi="ar"/>
              </w:rPr>
            </w:pPr>
            <w:r>
              <w:rPr>
                <w:rFonts w:hint="eastAsia" w:ascii="宋体" w:hAnsi="宋体" w:eastAsia="宋体" w:cs="宋体"/>
                <w:color w:val="auto"/>
                <w:sz w:val="20"/>
                <w:szCs w:val="20"/>
                <w:highlight w:val="none"/>
                <w:lang w:eastAsia="zh-CN" w:bidi="ar"/>
              </w:rPr>
              <w:t>5</w:t>
            </w:r>
          </w:p>
        </w:tc>
        <w:tc>
          <w:tcPr>
            <w:tcW w:w="262" w:type="pct"/>
            <w:vMerge w:val="restart"/>
            <w:shd w:val="clear" w:color="auto" w:fill="auto"/>
            <w:vAlign w:val="center"/>
          </w:tcPr>
          <w:p w14:paraId="4C43482F">
            <w:pPr>
              <w:jc w:val="center"/>
              <w:textAlignment w:val="center"/>
              <w:rPr>
                <w:rFonts w:hint="eastAsia" w:ascii="宋体" w:hAnsi="宋体" w:eastAsia="宋体" w:cs="宋体"/>
                <w:color w:val="auto"/>
                <w:sz w:val="20"/>
                <w:szCs w:val="20"/>
                <w:highlight w:val="none"/>
              </w:rPr>
            </w:pPr>
            <w:r>
              <w:rPr>
                <w:rFonts w:ascii="宋体" w:hAnsi="宋体" w:eastAsia="宋体" w:cs="宋体"/>
                <w:color w:val="auto"/>
                <w:sz w:val="20"/>
                <w:szCs w:val="20"/>
                <w:highlight w:val="none"/>
              </w:rPr>
              <w:t>提升机</w:t>
            </w:r>
          </w:p>
        </w:tc>
        <w:tc>
          <w:tcPr>
            <w:tcW w:w="398" w:type="pct"/>
            <w:shd w:val="clear" w:color="auto" w:fill="auto"/>
            <w:vAlign w:val="center"/>
          </w:tcPr>
          <w:p w14:paraId="74118927">
            <w:pPr>
              <w:spacing w:line="360" w:lineRule="auto"/>
              <w:textAlignment w:val="center"/>
              <w:rPr>
                <w:rFonts w:hint="eastAsia" w:ascii="宋体" w:hAnsi="宋体" w:eastAsia="宋体" w:cs="宋体"/>
                <w:color w:val="auto"/>
                <w:sz w:val="20"/>
                <w:szCs w:val="20"/>
                <w:highlight w:val="none"/>
                <w:lang w:eastAsia="zh-CN"/>
              </w:rPr>
            </w:pPr>
          </w:p>
        </w:tc>
        <w:tc>
          <w:tcPr>
            <w:tcW w:w="3942" w:type="pct"/>
            <w:shd w:val="clear" w:color="auto" w:fill="auto"/>
            <w:vAlign w:val="center"/>
          </w:tcPr>
          <w:p w14:paraId="4C351BE6">
            <w:pPr>
              <w:spacing w:line="360" w:lineRule="auto"/>
              <w:textAlignment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提升机主要由立柱框架、底部框架、顶部框架、提升平台、安全网、配重组件、驱动装置、控制装置等组成。通过伺服系统驱动升降机构及水平进出输送系统，实现输送物品和上下运输的设备。</w:t>
            </w:r>
          </w:p>
        </w:tc>
      </w:tr>
      <w:tr w14:paraId="54962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97" w:type="pct"/>
            <w:vMerge w:val="continue"/>
            <w:shd w:val="clear" w:color="auto" w:fill="auto"/>
            <w:noWrap/>
            <w:vAlign w:val="center"/>
          </w:tcPr>
          <w:p w14:paraId="319D2CBC">
            <w:pPr>
              <w:jc w:val="center"/>
              <w:textAlignment w:val="center"/>
              <w:rPr>
                <w:rFonts w:hint="eastAsia" w:ascii="宋体" w:hAnsi="宋体" w:eastAsia="宋体" w:cs="宋体"/>
                <w:color w:val="auto"/>
                <w:sz w:val="20"/>
                <w:szCs w:val="20"/>
                <w:highlight w:val="none"/>
                <w:lang w:eastAsia="zh-CN" w:bidi="ar"/>
              </w:rPr>
            </w:pPr>
          </w:p>
        </w:tc>
        <w:tc>
          <w:tcPr>
            <w:tcW w:w="262" w:type="pct"/>
            <w:vMerge w:val="continue"/>
            <w:shd w:val="clear" w:color="auto" w:fill="auto"/>
            <w:vAlign w:val="center"/>
          </w:tcPr>
          <w:p w14:paraId="75C9F4B9">
            <w:pPr>
              <w:jc w:val="center"/>
              <w:textAlignment w:val="center"/>
              <w:rPr>
                <w:rFonts w:hint="eastAsia" w:ascii="宋体" w:hAnsi="宋体" w:eastAsia="宋体" w:cs="宋体"/>
                <w:color w:val="auto"/>
                <w:sz w:val="20"/>
                <w:szCs w:val="20"/>
                <w:highlight w:val="none"/>
                <w:lang w:eastAsia="zh-CN"/>
              </w:rPr>
            </w:pPr>
          </w:p>
        </w:tc>
        <w:tc>
          <w:tcPr>
            <w:tcW w:w="398" w:type="pct"/>
            <w:shd w:val="clear" w:color="auto" w:fill="auto"/>
            <w:vAlign w:val="center"/>
          </w:tcPr>
          <w:p w14:paraId="29ACDAA8">
            <w:pPr>
              <w:spacing w:line="360" w:lineRule="auto"/>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4台</w:t>
            </w:r>
          </w:p>
        </w:tc>
        <w:tc>
          <w:tcPr>
            <w:tcW w:w="3942" w:type="pct"/>
            <w:shd w:val="clear" w:color="auto" w:fill="auto"/>
            <w:vAlign w:val="center"/>
          </w:tcPr>
          <w:tbl>
            <w:tblPr>
              <w:tblStyle w:val="11"/>
              <w:tblW w:w="50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52"/>
              <w:gridCol w:w="2425"/>
              <w:gridCol w:w="1654"/>
            </w:tblGrid>
            <w:tr w14:paraId="7ACB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5FBE4189">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项目</w:t>
                  </w:r>
                </w:p>
              </w:tc>
              <w:tc>
                <w:tcPr>
                  <w:tcW w:w="1549" w:type="pct"/>
                  <w:tcBorders>
                    <w:top w:val="single" w:color="auto" w:sz="4" w:space="0"/>
                    <w:left w:val="single" w:color="auto" w:sz="4" w:space="0"/>
                    <w:bottom w:val="single" w:color="auto" w:sz="4" w:space="0"/>
                    <w:right w:val="single" w:color="auto" w:sz="4" w:space="0"/>
                  </w:tcBorders>
                  <w:vAlign w:val="center"/>
                </w:tcPr>
                <w:p w14:paraId="20E50701">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技术参数</w:t>
                  </w:r>
                </w:p>
              </w:tc>
              <w:tc>
                <w:tcPr>
                  <w:tcW w:w="1419" w:type="pct"/>
                  <w:tcBorders>
                    <w:top w:val="single" w:color="auto" w:sz="4" w:space="0"/>
                    <w:left w:val="single" w:color="auto" w:sz="4" w:space="0"/>
                    <w:bottom w:val="single" w:color="auto" w:sz="4" w:space="0"/>
                    <w:right w:val="single" w:color="auto" w:sz="4" w:space="0"/>
                  </w:tcBorders>
                  <w:vAlign w:val="center"/>
                </w:tcPr>
                <w:p w14:paraId="0D4A69DD">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466D4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tcPr>
                <w:p w14:paraId="7D872B5A">
                  <w:pPr>
                    <w:ind w:firstLine="420"/>
                    <w:jc w:val="center"/>
                    <w:rPr>
                      <w:rFonts w:hint="eastAsia" w:ascii="宋体" w:hAnsi="宋体" w:eastAsia="宋体" w:cs="宋体"/>
                      <w:color w:val="auto"/>
                      <w:highlight w:val="none"/>
                    </w:rPr>
                  </w:pPr>
                  <w:r>
                    <w:rPr>
                      <w:rFonts w:hint="eastAsia" w:ascii="宋体" w:hAnsi="宋体" w:eastAsia="宋体" w:cs="宋体"/>
                      <w:color w:val="auto"/>
                      <w:highlight w:val="none"/>
                    </w:rPr>
                    <w:t>货物尺寸</w:t>
                  </w:r>
                </w:p>
              </w:tc>
              <w:tc>
                <w:tcPr>
                  <w:tcW w:w="1549" w:type="pct"/>
                  <w:tcBorders>
                    <w:top w:val="single" w:color="auto" w:sz="4" w:space="0"/>
                    <w:left w:val="single" w:color="auto" w:sz="4" w:space="0"/>
                    <w:bottom w:val="single" w:color="auto" w:sz="4" w:space="0"/>
                    <w:right w:val="single" w:color="auto" w:sz="4" w:space="0"/>
                  </w:tcBorders>
                  <w:vAlign w:val="center"/>
                </w:tcPr>
                <w:p w14:paraId="45972962">
                  <w:pPr>
                    <w:ind w:firstLine="420"/>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最大尺寸：1400mm（长）×1400mm（宽）×1000/1300/1500/2100mm（高）</w:t>
                  </w:r>
                </w:p>
                <w:p w14:paraId="531B8106">
                  <w:pPr>
                    <w:ind w:firstLine="420"/>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（含智能库载具）</w:t>
                  </w:r>
                </w:p>
              </w:tc>
              <w:tc>
                <w:tcPr>
                  <w:tcW w:w="1419" w:type="pct"/>
                  <w:tcBorders>
                    <w:top w:val="single" w:color="auto" w:sz="4" w:space="0"/>
                    <w:left w:val="single" w:color="auto" w:sz="4" w:space="0"/>
                    <w:bottom w:val="single" w:color="auto" w:sz="4" w:space="0"/>
                    <w:right w:val="single" w:color="auto" w:sz="4" w:space="0"/>
                  </w:tcBorders>
                  <w:vAlign w:val="center"/>
                </w:tcPr>
                <w:p w14:paraId="613196A6">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托盘尺寸1300*1300</w:t>
                  </w:r>
                </w:p>
              </w:tc>
            </w:tr>
            <w:tr w14:paraId="3C0BC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690F5E17">
                  <w:pPr>
                    <w:ind w:firstLine="420"/>
                    <w:jc w:val="center"/>
                    <w:rPr>
                      <w:rFonts w:hint="eastAsia" w:ascii="宋体" w:hAnsi="宋体" w:eastAsia="宋体" w:cs="宋体"/>
                      <w:color w:val="auto"/>
                      <w:highlight w:val="none"/>
                    </w:rPr>
                  </w:pPr>
                  <w:r>
                    <w:rPr>
                      <w:rFonts w:hint="eastAsia" w:ascii="宋体" w:hAnsi="宋体" w:eastAsia="宋体" w:cs="宋体"/>
                      <w:color w:val="auto"/>
                      <w:highlight w:val="none"/>
                    </w:rPr>
                    <w:t>工作温度范围</w:t>
                  </w:r>
                </w:p>
              </w:tc>
              <w:tc>
                <w:tcPr>
                  <w:tcW w:w="1549" w:type="pct"/>
                  <w:tcBorders>
                    <w:top w:val="single" w:color="auto" w:sz="4" w:space="0"/>
                    <w:left w:val="single" w:color="auto" w:sz="4" w:space="0"/>
                    <w:bottom w:val="single" w:color="auto" w:sz="4" w:space="0"/>
                    <w:right w:val="single" w:color="auto" w:sz="4" w:space="0"/>
                  </w:tcBorders>
                  <w:vAlign w:val="center"/>
                </w:tcPr>
                <w:p w14:paraId="0D999377">
                  <w:pPr>
                    <w:ind w:firstLine="420"/>
                    <w:jc w:val="center"/>
                    <w:rPr>
                      <w:rFonts w:hint="eastAsia" w:ascii="宋体" w:hAnsi="宋体" w:eastAsia="宋体" w:cs="宋体"/>
                      <w:color w:val="auto"/>
                      <w:highlight w:val="none"/>
                    </w:rPr>
                  </w:pPr>
                  <w:r>
                    <w:rPr>
                      <w:rFonts w:hint="eastAsia" w:ascii="宋体" w:hAnsi="宋体" w:eastAsia="宋体" w:cs="宋体"/>
                      <w:color w:val="auto"/>
                      <w:highlight w:val="none"/>
                    </w:rPr>
                    <w:t>-5度～45度</w:t>
                  </w:r>
                </w:p>
              </w:tc>
              <w:tc>
                <w:tcPr>
                  <w:tcW w:w="1419" w:type="pct"/>
                  <w:tcBorders>
                    <w:top w:val="single" w:color="auto" w:sz="4" w:space="0"/>
                    <w:left w:val="single" w:color="auto" w:sz="4" w:space="0"/>
                    <w:bottom w:val="single" w:color="auto" w:sz="4" w:space="0"/>
                    <w:right w:val="single" w:color="auto" w:sz="4" w:space="0"/>
                  </w:tcBorders>
                  <w:vAlign w:val="center"/>
                </w:tcPr>
                <w:p w14:paraId="57BB006A">
                  <w:pPr>
                    <w:pStyle w:val="21"/>
                    <w:ind w:firstLine="420"/>
                    <w:rPr>
                      <w:rFonts w:hint="eastAsia" w:ascii="宋体" w:hAnsi="宋体" w:eastAsia="宋体" w:cs="宋体"/>
                      <w:color w:val="auto"/>
                      <w:highlight w:val="none"/>
                    </w:rPr>
                  </w:pPr>
                </w:p>
              </w:tc>
            </w:tr>
            <w:tr w14:paraId="508F1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2AF4A09B">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满载提升速度</w:t>
                  </w:r>
                </w:p>
              </w:tc>
              <w:tc>
                <w:tcPr>
                  <w:tcW w:w="1549" w:type="pct"/>
                  <w:tcBorders>
                    <w:top w:val="single" w:color="auto" w:sz="4" w:space="0"/>
                    <w:left w:val="single" w:color="auto" w:sz="4" w:space="0"/>
                    <w:bottom w:val="single" w:color="auto" w:sz="4" w:space="0"/>
                    <w:right w:val="single" w:color="auto" w:sz="4" w:space="0"/>
                  </w:tcBorders>
                  <w:vAlign w:val="center"/>
                </w:tcPr>
                <w:p w14:paraId="05C22F5B">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≥36m/min</w:t>
                  </w:r>
                </w:p>
              </w:tc>
              <w:tc>
                <w:tcPr>
                  <w:tcW w:w="1419" w:type="pct"/>
                  <w:tcBorders>
                    <w:top w:val="single" w:color="auto" w:sz="4" w:space="0"/>
                    <w:left w:val="single" w:color="auto" w:sz="4" w:space="0"/>
                    <w:bottom w:val="single" w:color="auto" w:sz="4" w:space="0"/>
                    <w:right w:val="single" w:color="auto" w:sz="4" w:space="0"/>
                  </w:tcBorders>
                  <w:vAlign w:val="center"/>
                </w:tcPr>
                <w:p w14:paraId="059F6FC2">
                  <w:pPr>
                    <w:pStyle w:val="21"/>
                    <w:ind w:firstLine="420"/>
                    <w:rPr>
                      <w:rFonts w:hint="eastAsia" w:ascii="宋体" w:hAnsi="宋体" w:eastAsia="宋体" w:cs="宋体"/>
                      <w:color w:val="auto"/>
                      <w:highlight w:val="none"/>
                    </w:rPr>
                  </w:pPr>
                </w:p>
              </w:tc>
            </w:tr>
            <w:tr w14:paraId="20B6F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1BF3E35E">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空载提升速度</w:t>
                  </w:r>
                </w:p>
              </w:tc>
              <w:tc>
                <w:tcPr>
                  <w:tcW w:w="1549" w:type="pct"/>
                  <w:tcBorders>
                    <w:top w:val="single" w:color="auto" w:sz="4" w:space="0"/>
                    <w:left w:val="single" w:color="auto" w:sz="4" w:space="0"/>
                    <w:bottom w:val="single" w:color="auto" w:sz="4" w:space="0"/>
                    <w:right w:val="single" w:color="auto" w:sz="4" w:space="0"/>
                  </w:tcBorders>
                  <w:vAlign w:val="center"/>
                </w:tcPr>
                <w:p w14:paraId="7666541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≥36m/min</w:t>
                  </w:r>
                </w:p>
              </w:tc>
              <w:tc>
                <w:tcPr>
                  <w:tcW w:w="1419" w:type="pct"/>
                  <w:tcBorders>
                    <w:top w:val="single" w:color="auto" w:sz="4" w:space="0"/>
                    <w:left w:val="single" w:color="auto" w:sz="4" w:space="0"/>
                    <w:bottom w:val="single" w:color="auto" w:sz="4" w:space="0"/>
                    <w:right w:val="single" w:color="auto" w:sz="4" w:space="0"/>
                  </w:tcBorders>
                  <w:vAlign w:val="center"/>
                </w:tcPr>
                <w:p w14:paraId="4EB56A2C">
                  <w:pPr>
                    <w:pStyle w:val="21"/>
                    <w:ind w:firstLine="420"/>
                    <w:rPr>
                      <w:rFonts w:hint="eastAsia" w:ascii="宋体" w:hAnsi="宋体" w:eastAsia="宋体" w:cs="宋体"/>
                      <w:color w:val="auto"/>
                      <w:highlight w:val="none"/>
                    </w:rPr>
                  </w:pPr>
                </w:p>
              </w:tc>
            </w:tr>
            <w:tr w14:paraId="71C62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2610B330">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输送速度</w:t>
                  </w:r>
                </w:p>
              </w:tc>
              <w:tc>
                <w:tcPr>
                  <w:tcW w:w="1549" w:type="pct"/>
                  <w:tcBorders>
                    <w:top w:val="single" w:color="auto" w:sz="4" w:space="0"/>
                    <w:left w:val="single" w:color="auto" w:sz="4" w:space="0"/>
                    <w:bottom w:val="single" w:color="auto" w:sz="4" w:space="0"/>
                    <w:right w:val="single" w:color="auto" w:sz="4" w:space="0"/>
                  </w:tcBorders>
                  <w:vAlign w:val="center"/>
                </w:tcPr>
                <w:p w14:paraId="69B7010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≥12m/min</w:t>
                  </w:r>
                </w:p>
              </w:tc>
              <w:tc>
                <w:tcPr>
                  <w:tcW w:w="1419" w:type="pct"/>
                  <w:tcBorders>
                    <w:top w:val="single" w:color="auto" w:sz="4" w:space="0"/>
                    <w:left w:val="single" w:color="auto" w:sz="4" w:space="0"/>
                    <w:bottom w:val="single" w:color="auto" w:sz="4" w:space="0"/>
                    <w:right w:val="single" w:color="auto" w:sz="4" w:space="0"/>
                  </w:tcBorders>
                  <w:vAlign w:val="center"/>
                </w:tcPr>
                <w:p w14:paraId="2CAFDD36">
                  <w:pPr>
                    <w:pStyle w:val="21"/>
                    <w:ind w:firstLine="420"/>
                    <w:rPr>
                      <w:rFonts w:hint="eastAsia" w:ascii="宋体" w:hAnsi="宋体" w:eastAsia="宋体" w:cs="宋体"/>
                      <w:color w:val="auto"/>
                      <w:highlight w:val="none"/>
                    </w:rPr>
                  </w:pPr>
                </w:p>
              </w:tc>
            </w:tr>
            <w:tr w14:paraId="1D9BD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5AFD0059">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驱动方式</w:t>
                  </w:r>
                </w:p>
              </w:tc>
              <w:tc>
                <w:tcPr>
                  <w:tcW w:w="1549" w:type="pct"/>
                  <w:tcBorders>
                    <w:top w:val="single" w:color="auto" w:sz="4" w:space="0"/>
                    <w:left w:val="single" w:color="auto" w:sz="4" w:space="0"/>
                    <w:bottom w:val="single" w:color="auto" w:sz="4" w:space="0"/>
                    <w:right w:val="single" w:color="auto" w:sz="4" w:space="0"/>
                  </w:tcBorders>
                  <w:vAlign w:val="center"/>
                </w:tcPr>
                <w:p w14:paraId="37034CF2">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伺服电机/变频电机</w:t>
                  </w:r>
                </w:p>
              </w:tc>
              <w:tc>
                <w:tcPr>
                  <w:tcW w:w="1419" w:type="pct"/>
                  <w:tcBorders>
                    <w:top w:val="single" w:color="auto" w:sz="4" w:space="0"/>
                    <w:left w:val="single" w:color="auto" w:sz="4" w:space="0"/>
                    <w:bottom w:val="single" w:color="auto" w:sz="4" w:space="0"/>
                    <w:right w:val="single" w:color="auto" w:sz="4" w:space="0"/>
                  </w:tcBorders>
                  <w:vAlign w:val="center"/>
                </w:tcPr>
                <w:p w14:paraId="14ABA800">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无需找原点</w:t>
                  </w:r>
                </w:p>
                <w:p w14:paraId="1858B170">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位置信息具有断电记录功能</w:t>
                  </w:r>
                </w:p>
              </w:tc>
            </w:tr>
            <w:tr w14:paraId="32E2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7F13644F">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控制单元</w:t>
                  </w:r>
                </w:p>
              </w:tc>
              <w:tc>
                <w:tcPr>
                  <w:tcW w:w="1549" w:type="pct"/>
                  <w:tcBorders>
                    <w:top w:val="single" w:color="auto" w:sz="4" w:space="0"/>
                    <w:left w:val="single" w:color="auto" w:sz="4" w:space="0"/>
                    <w:bottom w:val="single" w:color="auto" w:sz="4" w:space="0"/>
                    <w:right w:val="single" w:color="auto" w:sz="4" w:space="0"/>
                  </w:tcBorders>
                  <w:vAlign w:val="center"/>
                </w:tcPr>
                <w:p w14:paraId="25FC39D0">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PLC控制</w:t>
                  </w:r>
                </w:p>
                <w:p w14:paraId="5842B801">
                  <w:pPr>
                    <w:ind w:firstLine="420"/>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联机自动/单机自动/手动</w:t>
                  </w:r>
                </w:p>
              </w:tc>
              <w:tc>
                <w:tcPr>
                  <w:tcW w:w="1419" w:type="pct"/>
                  <w:tcBorders>
                    <w:top w:val="single" w:color="auto" w:sz="4" w:space="0"/>
                    <w:left w:val="single" w:color="auto" w:sz="4" w:space="0"/>
                    <w:bottom w:val="single" w:color="auto" w:sz="4" w:space="0"/>
                    <w:right w:val="single" w:color="auto" w:sz="4" w:space="0"/>
                  </w:tcBorders>
                  <w:vAlign w:val="center"/>
                </w:tcPr>
                <w:p w14:paraId="1299D73B">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国际一线品牌</w:t>
                  </w:r>
                </w:p>
              </w:tc>
            </w:tr>
            <w:tr w14:paraId="0AB5E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3E765120">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水平传动方式</w:t>
                  </w:r>
                </w:p>
              </w:tc>
              <w:tc>
                <w:tcPr>
                  <w:tcW w:w="1549" w:type="pct"/>
                  <w:tcBorders>
                    <w:top w:val="single" w:color="auto" w:sz="4" w:space="0"/>
                    <w:left w:val="single" w:color="auto" w:sz="4" w:space="0"/>
                    <w:bottom w:val="single" w:color="auto" w:sz="4" w:space="0"/>
                    <w:right w:val="single" w:color="auto" w:sz="4" w:space="0"/>
                  </w:tcBorders>
                  <w:vAlign w:val="center"/>
                </w:tcPr>
                <w:p w14:paraId="5C1301F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链条</w:t>
                  </w:r>
                </w:p>
              </w:tc>
              <w:tc>
                <w:tcPr>
                  <w:tcW w:w="1419" w:type="pct"/>
                  <w:tcBorders>
                    <w:top w:val="single" w:color="auto" w:sz="4" w:space="0"/>
                    <w:left w:val="single" w:color="auto" w:sz="4" w:space="0"/>
                    <w:bottom w:val="single" w:color="auto" w:sz="4" w:space="0"/>
                    <w:right w:val="single" w:color="auto" w:sz="4" w:space="0"/>
                  </w:tcBorders>
                  <w:vAlign w:val="center"/>
                </w:tcPr>
                <w:p w14:paraId="603FCD5A">
                  <w:pPr>
                    <w:pStyle w:val="21"/>
                    <w:ind w:firstLine="420"/>
                    <w:rPr>
                      <w:rFonts w:hint="eastAsia" w:ascii="宋体" w:hAnsi="宋体" w:eastAsia="宋体" w:cs="宋体"/>
                      <w:color w:val="auto"/>
                      <w:highlight w:val="none"/>
                    </w:rPr>
                  </w:pPr>
                </w:p>
              </w:tc>
            </w:tr>
            <w:tr w14:paraId="4EB1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7F79A350">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提升定位精度</w:t>
                  </w:r>
                </w:p>
              </w:tc>
              <w:tc>
                <w:tcPr>
                  <w:tcW w:w="1549" w:type="pct"/>
                  <w:tcBorders>
                    <w:top w:val="single" w:color="auto" w:sz="4" w:space="0"/>
                    <w:left w:val="single" w:color="auto" w:sz="4" w:space="0"/>
                    <w:bottom w:val="single" w:color="auto" w:sz="4" w:space="0"/>
                    <w:right w:val="single" w:color="auto" w:sz="4" w:space="0"/>
                  </w:tcBorders>
                  <w:vAlign w:val="center"/>
                </w:tcPr>
                <w:p w14:paraId="787B2DAB">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≤±2mm</w:t>
                  </w:r>
                </w:p>
              </w:tc>
              <w:tc>
                <w:tcPr>
                  <w:tcW w:w="1419" w:type="pct"/>
                  <w:tcBorders>
                    <w:top w:val="single" w:color="auto" w:sz="4" w:space="0"/>
                    <w:left w:val="single" w:color="auto" w:sz="4" w:space="0"/>
                    <w:bottom w:val="single" w:color="auto" w:sz="4" w:space="0"/>
                    <w:right w:val="single" w:color="auto" w:sz="4" w:space="0"/>
                  </w:tcBorders>
                  <w:vAlign w:val="center"/>
                </w:tcPr>
                <w:p w14:paraId="2893F1D5">
                  <w:pPr>
                    <w:pStyle w:val="21"/>
                    <w:ind w:firstLine="420"/>
                    <w:rPr>
                      <w:rFonts w:hint="eastAsia" w:ascii="宋体" w:hAnsi="宋体" w:eastAsia="宋体" w:cs="宋体"/>
                      <w:color w:val="auto"/>
                      <w:highlight w:val="none"/>
                    </w:rPr>
                  </w:pPr>
                </w:p>
              </w:tc>
            </w:tr>
            <w:tr w14:paraId="618B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018418D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提升方式</w:t>
                  </w:r>
                </w:p>
              </w:tc>
              <w:tc>
                <w:tcPr>
                  <w:tcW w:w="1549" w:type="pct"/>
                  <w:tcBorders>
                    <w:top w:val="single" w:color="auto" w:sz="4" w:space="0"/>
                    <w:left w:val="single" w:color="auto" w:sz="4" w:space="0"/>
                    <w:bottom w:val="single" w:color="auto" w:sz="4" w:space="0"/>
                    <w:right w:val="single" w:color="auto" w:sz="4" w:space="0"/>
                  </w:tcBorders>
                  <w:vAlign w:val="center"/>
                </w:tcPr>
                <w:p w14:paraId="43BA07D6">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齿轮齿条/链条</w:t>
                  </w:r>
                </w:p>
              </w:tc>
              <w:tc>
                <w:tcPr>
                  <w:tcW w:w="1419" w:type="pct"/>
                  <w:tcBorders>
                    <w:top w:val="single" w:color="auto" w:sz="4" w:space="0"/>
                    <w:left w:val="single" w:color="auto" w:sz="4" w:space="0"/>
                    <w:bottom w:val="single" w:color="auto" w:sz="4" w:space="0"/>
                    <w:right w:val="single" w:color="auto" w:sz="4" w:space="0"/>
                  </w:tcBorders>
                  <w:vAlign w:val="center"/>
                </w:tcPr>
                <w:p w14:paraId="52CB6FC3">
                  <w:pPr>
                    <w:pStyle w:val="21"/>
                    <w:ind w:firstLine="420"/>
                    <w:rPr>
                      <w:rFonts w:hint="eastAsia" w:ascii="宋体" w:hAnsi="宋体" w:eastAsia="宋体" w:cs="宋体"/>
                      <w:color w:val="auto"/>
                      <w:highlight w:val="none"/>
                    </w:rPr>
                  </w:pPr>
                </w:p>
              </w:tc>
            </w:tr>
            <w:tr w14:paraId="16DB1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3EFBD106">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▲升降运行</w:t>
                  </w:r>
                </w:p>
              </w:tc>
              <w:tc>
                <w:tcPr>
                  <w:tcW w:w="1549" w:type="pct"/>
                  <w:tcBorders>
                    <w:top w:val="single" w:color="auto" w:sz="4" w:space="0"/>
                    <w:left w:val="single" w:color="auto" w:sz="4" w:space="0"/>
                    <w:bottom w:val="single" w:color="auto" w:sz="4" w:space="0"/>
                    <w:right w:val="single" w:color="auto" w:sz="4" w:space="0"/>
                  </w:tcBorders>
                  <w:vAlign w:val="center"/>
                </w:tcPr>
                <w:p w14:paraId="5D8EBB54">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47B571C9">
                  <w:pPr>
                    <w:pStyle w:val="21"/>
                    <w:ind w:firstLine="420"/>
                    <w:rPr>
                      <w:rFonts w:hint="eastAsia" w:ascii="宋体" w:hAnsi="宋体" w:eastAsia="宋体" w:cs="宋体"/>
                      <w:color w:val="auto"/>
                      <w:highlight w:val="none"/>
                    </w:rPr>
                  </w:pPr>
                </w:p>
              </w:tc>
            </w:tr>
            <w:tr w14:paraId="6F701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6E315B6C">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★解除锁定</w:t>
                  </w:r>
                </w:p>
              </w:tc>
              <w:tc>
                <w:tcPr>
                  <w:tcW w:w="1549" w:type="pct"/>
                  <w:tcBorders>
                    <w:top w:val="single" w:color="auto" w:sz="4" w:space="0"/>
                    <w:left w:val="single" w:color="auto" w:sz="4" w:space="0"/>
                    <w:bottom w:val="single" w:color="auto" w:sz="4" w:space="0"/>
                    <w:right w:val="single" w:color="auto" w:sz="4" w:space="0"/>
                  </w:tcBorders>
                  <w:vAlign w:val="center"/>
                </w:tcPr>
                <w:p w14:paraId="768D4241">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2433B9EA">
                  <w:pPr>
                    <w:pStyle w:val="21"/>
                    <w:ind w:firstLine="420"/>
                    <w:rPr>
                      <w:rFonts w:hint="eastAsia" w:ascii="宋体" w:hAnsi="宋体" w:eastAsia="宋体" w:cs="宋体"/>
                      <w:color w:val="auto"/>
                      <w:highlight w:val="none"/>
                    </w:rPr>
                  </w:pPr>
                </w:p>
              </w:tc>
            </w:tr>
            <w:tr w14:paraId="2BA59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3ACAA1C8">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★数据配置</w:t>
                  </w:r>
                </w:p>
              </w:tc>
              <w:tc>
                <w:tcPr>
                  <w:tcW w:w="1549" w:type="pct"/>
                  <w:tcBorders>
                    <w:top w:val="single" w:color="auto" w:sz="4" w:space="0"/>
                    <w:left w:val="single" w:color="auto" w:sz="4" w:space="0"/>
                    <w:bottom w:val="single" w:color="auto" w:sz="4" w:space="0"/>
                    <w:right w:val="single" w:color="auto" w:sz="4" w:space="0"/>
                  </w:tcBorders>
                  <w:vAlign w:val="center"/>
                </w:tcPr>
                <w:p w14:paraId="0AAD4A67">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350C159B">
                  <w:pPr>
                    <w:pStyle w:val="21"/>
                    <w:ind w:firstLine="420"/>
                    <w:rPr>
                      <w:rFonts w:hint="eastAsia" w:ascii="宋体" w:hAnsi="宋体" w:eastAsia="宋体" w:cs="宋体"/>
                      <w:color w:val="auto"/>
                      <w:highlight w:val="none"/>
                    </w:rPr>
                  </w:pPr>
                </w:p>
              </w:tc>
            </w:tr>
            <w:tr w14:paraId="56CEF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0B12B34C">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▲停止输送</w:t>
                  </w:r>
                </w:p>
              </w:tc>
              <w:tc>
                <w:tcPr>
                  <w:tcW w:w="1549" w:type="pct"/>
                  <w:tcBorders>
                    <w:top w:val="single" w:color="auto" w:sz="4" w:space="0"/>
                    <w:left w:val="single" w:color="auto" w:sz="4" w:space="0"/>
                    <w:bottom w:val="single" w:color="auto" w:sz="4" w:space="0"/>
                    <w:right w:val="single" w:color="auto" w:sz="4" w:space="0"/>
                  </w:tcBorders>
                  <w:vAlign w:val="center"/>
                </w:tcPr>
                <w:p w14:paraId="6775194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12580BF2">
                  <w:pPr>
                    <w:pStyle w:val="21"/>
                    <w:ind w:firstLine="420"/>
                    <w:rPr>
                      <w:rFonts w:hint="eastAsia" w:ascii="宋体" w:hAnsi="宋体" w:eastAsia="宋体" w:cs="宋体"/>
                      <w:color w:val="auto"/>
                      <w:highlight w:val="none"/>
                    </w:rPr>
                  </w:pPr>
                </w:p>
              </w:tc>
            </w:tr>
            <w:tr w14:paraId="52F2C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5C05F50D">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▲出至输送</w:t>
                  </w:r>
                </w:p>
              </w:tc>
              <w:tc>
                <w:tcPr>
                  <w:tcW w:w="1549" w:type="pct"/>
                  <w:tcBorders>
                    <w:top w:val="single" w:color="auto" w:sz="4" w:space="0"/>
                    <w:left w:val="single" w:color="auto" w:sz="4" w:space="0"/>
                    <w:bottom w:val="single" w:color="auto" w:sz="4" w:space="0"/>
                    <w:right w:val="single" w:color="auto" w:sz="4" w:space="0"/>
                  </w:tcBorders>
                  <w:vAlign w:val="center"/>
                </w:tcPr>
                <w:p w14:paraId="6B96E10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16443D5D">
                  <w:pPr>
                    <w:pStyle w:val="21"/>
                    <w:ind w:firstLine="420"/>
                    <w:rPr>
                      <w:rFonts w:hint="eastAsia" w:ascii="宋体" w:hAnsi="宋体" w:eastAsia="宋体" w:cs="宋体"/>
                      <w:color w:val="auto"/>
                      <w:highlight w:val="none"/>
                    </w:rPr>
                  </w:pPr>
                </w:p>
              </w:tc>
            </w:tr>
            <w:tr w14:paraId="4EB6F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47EEF3E0">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▲输送送入</w:t>
                  </w:r>
                </w:p>
              </w:tc>
              <w:tc>
                <w:tcPr>
                  <w:tcW w:w="1549" w:type="pct"/>
                  <w:tcBorders>
                    <w:top w:val="single" w:color="auto" w:sz="4" w:space="0"/>
                    <w:left w:val="single" w:color="auto" w:sz="4" w:space="0"/>
                    <w:bottom w:val="single" w:color="auto" w:sz="4" w:space="0"/>
                    <w:right w:val="single" w:color="auto" w:sz="4" w:space="0"/>
                  </w:tcBorders>
                  <w:vAlign w:val="center"/>
                </w:tcPr>
                <w:p w14:paraId="350EA0FB">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0D429767">
                  <w:pPr>
                    <w:pStyle w:val="21"/>
                    <w:ind w:firstLine="420"/>
                    <w:rPr>
                      <w:rFonts w:hint="eastAsia" w:ascii="宋体" w:hAnsi="宋体" w:eastAsia="宋体" w:cs="宋体"/>
                      <w:color w:val="auto"/>
                      <w:highlight w:val="none"/>
                    </w:rPr>
                  </w:pPr>
                </w:p>
              </w:tc>
            </w:tr>
            <w:tr w14:paraId="20FD7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5B76A009">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▲送至货架</w:t>
                  </w:r>
                </w:p>
              </w:tc>
              <w:tc>
                <w:tcPr>
                  <w:tcW w:w="1549" w:type="pct"/>
                  <w:tcBorders>
                    <w:top w:val="single" w:color="auto" w:sz="4" w:space="0"/>
                    <w:left w:val="single" w:color="auto" w:sz="4" w:space="0"/>
                    <w:bottom w:val="single" w:color="auto" w:sz="4" w:space="0"/>
                    <w:right w:val="single" w:color="auto" w:sz="4" w:space="0"/>
                  </w:tcBorders>
                  <w:vAlign w:val="center"/>
                </w:tcPr>
                <w:p w14:paraId="70E66FBA">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53593971">
                  <w:pPr>
                    <w:pStyle w:val="21"/>
                    <w:ind w:firstLine="420"/>
                    <w:rPr>
                      <w:rFonts w:hint="eastAsia" w:ascii="宋体" w:hAnsi="宋体" w:eastAsia="宋体" w:cs="宋体"/>
                      <w:color w:val="auto"/>
                      <w:highlight w:val="none"/>
                    </w:rPr>
                  </w:pPr>
                </w:p>
              </w:tc>
            </w:tr>
            <w:tr w14:paraId="7C5AA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378E689B">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▲货架送出</w:t>
                  </w:r>
                </w:p>
              </w:tc>
              <w:tc>
                <w:tcPr>
                  <w:tcW w:w="1549" w:type="pct"/>
                  <w:tcBorders>
                    <w:top w:val="single" w:color="auto" w:sz="4" w:space="0"/>
                    <w:left w:val="single" w:color="auto" w:sz="4" w:space="0"/>
                    <w:bottom w:val="single" w:color="auto" w:sz="4" w:space="0"/>
                    <w:right w:val="single" w:color="auto" w:sz="4" w:space="0"/>
                  </w:tcBorders>
                  <w:vAlign w:val="center"/>
                </w:tcPr>
                <w:p w14:paraId="6D4FCB83">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293F4C30">
                  <w:pPr>
                    <w:pStyle w:val="21"/>
                    <w:ind w:firstLine="420"/>
                    <w:rPr>
                      <w:rFonts w:hint="eastAsia" w:ascii="宋体" w:hAnsi="宋体" w:eastAsia="宋体" w:cs="宋体"/>
                      <w:color w:val="auto"/>
                      <w:highlight w:val="none"/>
                    </w:rPr>
                  </w:pPr>
                </w:p>
              </w:tc>
            </w:tr>
            <w:tr w14:paraId="03CA9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3BDEAB54">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模块化设计</w:t>
                  </w:r>
                </w:p>
              </w:tc>
              <w:tc>
                <w:tcPr>
                  <w:tcW w:w="1549" w:type="pct"/>
                  <w:tcBorders>
                    <w:top w:val="single" w:color="auto" w:sz="4" w:space="0"/>
                    <w:left w:val="single" w:color="auto" w:sz="4" w:space="0"/>
                    <w:bottom w:val="single" w:color="auto" w:sz="4" w:space="0"/>
                    <w:right w:val="single" w:color="auto" w:sz="4" w:space="0"/>
                  </w:tcBorders>
                  <w:vAlign w:val="center"/>
                </w:tcPr>
                <w:p w14:paraId="685F8FF4">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352266B2">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无需大型辅助安装设备</w:t>
                  </w:r>
                </w:p>
              </w:tc>
            </w:tr>
            <w:tr w14:paraId="588E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0E6DA201">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底部聚氨酯缓冲块</w:t>
                  </w:r>
                </w:p>
              </w:tc>
              <w:tc>
                <w:tcPr>
                  <w:tcW w:w="1549" w:type="pct"/>
                  <w:tcBorders>
                    <w:top w:val="single" w:color="auto" w:sz="4" w:space="0"/>
                    <w:left w:val="single" w:color="auto" w:sz="4" w:space="0"/>
                    <w:bottom w:val="single" w:color="auto" w:sz="4" w:space="0"/>
                    <w:right w:val="single" w:color="auto" w:sz="4" w:space="0"/>
                  </w:tcBorders>
                  <w:vAlign w:val="center"/>
                </w:tcPr>
                <w:p w14:paraId="1EECAFF2">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79269780">
                  <w:pPr>
                    <w:pStyle w:val="21"/>
                    <w:ind w:firstLine="420"/>
                    <w:rPr>
                      <w:rFonts w:hint="eastAsia" w:ascii="宋体" w:hAnsi="宋体" w:eastAsia="宋体" w:cs="宋体"/>
                      <w:color w:val="auto"/>
                      <w:highlight w:val="none"/>
                    </w:rPr>
                  </w:pPr>
                </w:p>
              </w:tc>
            </w:tr>
            <w:tr w14:paraId="48D7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00016C56">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触摸控制屏</w:t>
                  </w:r>
                </w:p>
              </w:tc>
              <w:tc>
                <w:tcPr>
                  <w:tcW w:w="1549" w:type="pct"/>
                  <w:tcBorders>
                    <w:top w:val="single" w:color="auto" w:sz="4" w:space="0"/>
                    <w:left w:val="single" w:color="auto" w:sz="4" w:space="0"/>
                    <w:bottom w:val="single" w:color="auto" w:sz="4" w:space="0"/>
                    <w:right w:val="single" w:color="auto" w:sz="4" w:space="0"/>
                  </w:tcBorders>
                  <w:vAlign w:val="center"/>
                </w:tcPr>
                <w:p w14:paraId="51A5C2E8">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5F3329CE">
                  <w:pPr>
                    <w:pStyle w:val="21"/>
                    <w:ind w:firstLine="420"/>
                    <w:rPr>
                      <w:rFonts w:hint="eastAsia" w:ascii="宋体" w:hAnsi="宋体" w:eastAsia="宋体" w:cs="宋体"/>
                      <w:color w:val="auto"/>
                      <w:highlight w:val="none"/>
                    </w:rPr>
                  </w:pPr>
                </w:p>
              </w:tc>
            </w:tr>
            <w:tr w14:paraId="51F35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12DFC67D">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噪音</w:t>
                  </w:r>
                </w:p>
              </w:tc>
              <w:tc>
                <w:tcPr>
                  <w:tcW w:w="1549" w:type="pct"/>
                  <w:tcBorders>
                    <w:top w:val="single" w:color="auto" w:sz="4" w:space="0"/>
                    <w:left w:val="single" w:color="auto" w:sz="4" w:space="0"/>
                    <w:bottom w:val="single" w:color="auto" w:sz="4" w:space="0"/>
                    <w:right w:val="single" w:color="auto" w:sz="4" w:space="0"/>
                  </w:tcBorders>
                  <w:vAlign w:val="center"/>
                </w:tcPr>
                <w:p w14:paraId="2DCE61D5">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≤85db</w:t>
                  </w:r>
                </w:p>
              </w:tc>
              <w:tc>
                <w:tcPr>
                  <w:tcW w:w="1419" w:type="pct"/>
                  <w:tcBorders>
                    <w:top w:val="single" w:color="auto" w:sz="4" w:space="0"/>
                    <w:left w:val="single" w:color="auto" w:sz="4" w:space="0"/>
                    <w:bottom w:val="single" w:color="auto" w:sz="4" w:space="0"/>
                    <w:right w:val="single" w:color="auto" w:sz="4" w:space="0"/>
                  </w:tcBorders>
                  <w:vAlign w:val="center"/>
                </w:tcPr>
                <w:p w14:paraId="618BF999">
                  <w:pPr>
                    <w:pStyle w:val="21"/>
                    <w:ind w:firstLine="420"/>
                    <w:rPr>
                      <w:rFonts w:hint="eastAsia" w:ascii="宋体" w:hAnsi="宋体" w:eastAsia="宋体" w:cs="宋体"/>
                      <w:color w:val="auto"/>
                      <w:highlight w:val="none"/>
                    </w:rPr>
                  </w:pPr>
                </w:p>
              </w:tc>
            </w:tr>
            <w:tr w14:paraId="31BB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008C116C">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机械式双向阻挡器</w:t>
                  </w:r>
                </w:p>
              </w:tc>
              <w:tc>
                <w:tcPr>
                  <w:tcW w:w="1549" w:type="pct"/>
                  <w:tcBorders>
                    <w:top w:val="single" w:color="auto" w:sz="4" w:space="0"/>
                    <w:left w:val="single" w:color="auto" w:sz="4" w:space="0"/>
                    <w:bottom w:val="single" w:color="auto" w:sz="4" w:space="0"/>
                    <w:right w:val="single" w:color="auto" w:sz="4" w:space="0"/>
                  </w:tcBorders>
                  <w:vAlign w:val="center"/>
                </w:tcPr>
                <w:p w14:paraId="1884FF61">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4145E6FC">
                  <w:pPr>
                    <w:pStyle w:val="21"/>
                    <w:ind w:firstLine="420"/>
                    <w:rPr>
                      <w:rFonts w:hint="eastAsia" w:ascii="宋体" w:hAnsi="宋体" w:eastAsia="宋体" w:cs="宋体"/>
                      <w:color w:val="auto"/>
                      <w:highlight w:val="none"/>
                    </w:rPr>
                  </w:pPr>
                </w:p>
              </w:tc>
            </w:tr>
            <w:tr w14:paraId="4A91F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2031" w:type="pct"/>
                  <w:tcBorders>
                    <w:top w:val="single" w:color="auto" w:sz="4" w:space="0"/>
                    <w:left w:val="single" w:color="auto" w:sz="4" w:space="0"/>
                    <w:bottom w:val="single" w:color="auto" w:sz="4" w:space="0"/>
                    <w:right w:val="single" w:color="auto" w:sz="4" w:space="0"/>
                  </w:tcBorders>
                  <w:vAlign w:val="center"/>
                </w:tcPr>
                <w:p w14:paraId="72CBAA23">
                  <w:pPr>
                    <w:pStyle w:val="21"/>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载货台双重光电保护功能</w:t>
                  </w:r>
                </w:p>
              </w:tc>
              <w:tc>
                <w:tcPr>
                  <w:tcW w:w="1549" w:type="pct"/>
                  <w:tcBorders>
                    <w:top w:val="single" w:color="auto" w:sz="4" w:space="0"/>
                    <w:left w:val="single" w:color="auto" w:sz="4" w:space="0"/>
                    <w:bottom w:val="single" w:color="auto" w:sz="4" w:space="0"/>
                    <w:right w:val="single" w:color="auto" w:sz="4" w:space="0"/>
                  </w:tcBorders>
                  <w:vAlign w:val="center"/>
                </w:tcPr>
                <w:p w14:paraId="0A4AE400">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具备</w:t>
                  </w:r>
                </w:p>
              </w:tc>
              <w:tc>
                <w:tcPr>
                  <w:tcW w:w="1419" w:type="pct"/>
                  <w:tcBorders>
                    <w:top w:val="single" w:color="auto" w:sz="4" w:space="0"/>
                    <w:left w:val="single" w:color="auto" w:sz="4" w:space="0"/>
                    <w:bottom w:val="single" w:color="auto" w:sz="4" w:space="0"/>
                    <w:right w:val="single" w:color="auto" w:sz="4" w:space="0"/>
                  </w:tcBorders>
                  <w:vAlign w:val="center"/>
                </w:tcPr>
                <w:p w14:paraId="76197B09">
                  <w:pPr>
                    <w:pStyle w:val="21"/>
                    <w:ind w:firstLine="420"/>
                    <w:rPr>
                      <w:rFonts w:hint="eastAsia" w:ascii="宋体" w:hAnsi="宋体" w:eastAsia="宋体" w:cs="宋体"/>
                      <w:color w:val="auto"/>
                      <w:highlight w:val="none"/>
                    </w:rPr>
                  </w:pPr>
                  <w:r>
                    <w:rPr>
                      <w:rFonts w:hint="eastAsia" w:ascii="宋体" w:hAnsi="宋体" w:eastAsia="宋体" w:cs="宋体"/>
                      <w:color w:val="auto"/>
                      <w:highlight w:val="none"/>
                    </w:rPr>
                    <w:t>货物+穿梭车双重检测</w:t>
                  </w:r>
                </w:p>
              </w:tc>
            </w:tr>
          </w:tbl>
          <w:p w14:paraId="5D4253D0">
            <w:pPr>
              <w:spacing w:line="360" w:lineRule="auto"/>
              <w:textAlignment w:val="center"/>
              <w:rPr>
                <w:rFonts w:hint="eastAsia" w:ascii="宋体" w:hAnsi="宋体" w:eastAsia="宋体" w:cs="宋体"/>
                <w:color w:val="auto"/>
                <w:sz w:val="20"/>
                <w:szCs w:val="20"/>
                <w:highlight w:val="none"/>
              </w:rPr>
            </w:pPr>
          </w:p>
        </w:tc>
      </w:tr>
    </w:tbl>
    <w:p w14:paraId="20A2580C">
      <w:pPr>
        <w:spacing w:line="400" w:lineRule="exact"/>
        <w:rPr>
          <w:rFonts w:hint="eastAsia" w:ascii="仿宋_GB2312" w:hAnsi="仿宋_GB2312" w:eastAsia="仿宋_GB2312" w:cs="仿宋_GB2312"/>
          <w:b/>
          <w:bCs/>
          <w:color w:val="C00000"/>
          <w:sz w:val="24"/>
          <w:szCs w:val="24"/>
          <w:lang w:eastAsia="zh-CN"/>
        </w:rPr>
      </w:pPr>
    </w:p>
    <w:p w14:paraId="05ACCF2F">
      <w:pPr>
        <w:spacing w:line="400" w:lineRule="exact"/>
        <w:ind w:firstLine="482" w:firstLineChars="200"/>
        <w:rPr>
          <w:rFonts w:hint="eastAsia" w:ascii="仿宋_GB2312" w:hAnsi="仿宋_GB2312" w:eastAsia="仿宋_GB2312" w:cs="仿宋_GB2312"/>
          <w:b/>
          <w:bCs/>
          <w:sz w:val="24"/>
          <w:szCs w:val="24"/>
          <w:lang w:eastAsia="zh-CN"/>
        </w:rPr>
      </w:pPr>
      <w:r>
        <w:rPr>
          <w:rFonts w:ascii="仿宋_GB2312" w:hAnsi="仿宋_GB2312" w:eastAsia="仿宋_GB2312" w:cs="仿宋_GB2312"/>
          <w:b/>
          <w:bCs/>
          <w:sz w:val="24"/>
          <w:szCs w:val="24"/>
          <w:lang w:eastAsia="zh-CN"/>
        </w:rPr>
        <w:t>3．</w:t>
      </w:r>
      <w:r>
        <w:rPr>
          <w:rFonts w:hint="eastAsia" w:ascii="仿宋_GB2312" w:hAnsi="仿宋_GB2312" w:eastAsia="仿宋_GB2312" w:cs="仿宋_GB2312"/>
          <w:b/>
          <w:bCs/>
          <w:sz w:val="24"/>
          <w:szCs w:val="24"/>
          <w:lang w:eastAsia="zh-CN"/>
        </w:rPr>
        <w:t>采购总体要求</w:t>
      </w:r>
    </w:p>
    <w:p w14:paraId="5194E5B6">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3.1 报价人必须对本项目所有设备、备品备件、专用工具和伴随服务报价。</w:t>
      </w:r>
    </w:p>
    <w:p w14:paraId="583D5454">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3.2 伴随服务（费用包含在报价总价内）：全部设备的运输、安装调试、人员培训售后服务、税费（国内产品）等费用。</w:t>
      </w:r>
    </w:p>
    <w:p w14:paraId="43D8F2DB">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3.3 报价人提供的物品必须是全新，表面无划伤、无碰撞的。报价人应保证提供的货物是符合国家、国际最新的有关标准、规范的优质产品。若有异议，应在报价文件中予以详细说明。</w:t>
      </w:r>
    </w:p>
    <w:p w14:paraId="74E99B50">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3.4 报价人应对报价设备</w:t>
      </w:r>
      <w:r>
        <w:rPr>
          <w:rFonts w:hint="eastAsia" w:ascii="仿宋_GB2312" w:hAnsi="仿宋_GB2312" w:eastAsia="仿宋_GB2312" w:cs="仿宋_GB2312"/>
          <w:b/>
          <w:bCs/>
          <w:sz w:val="24"/>
          <w:szCs w:val="24"/>
          <w:lang w:eastAsia="zh-CN"/>
        </w:rPr>
        <w:t>列明其品牌、型号、制造商名称、产地、技术参数</w:t>
      </w:r>
      <w:r>
        <w:rPr>
          <w:rFonts w:hint="eastAsia" w:ascii="仿宋_GB2312" w:hAnsi="仿宋_GB2312" w:eastAsia="仿宋_GB2312" w:cs="仿宋_GB2312"/>
          <w:sz w:val="24"/>
          <w:szCs w:val="24"/>
          <w:lang w:eastAsia="zh-CN"/>
        </w:rPr>
        <w:t>。</w:t>
      </w:r>
    </w:p>
    <w:p w14:paraId="40F85183">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3.5 报价人的所报产品必须是在中国范围内合法销售，原装、全新，并符合设备参数、技术及要求的产品。</w:t>
      </w:r>
    </w:p>
    <w:p w14:paraId="115BD566">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3.6 报价人必须在报价文件中</w:t>
      </w:r>
      <w:r>
        <w:rPr>
          <w:rFonts w:hint="eastAsia" w:ascii="仿宋_GB2312" w:hAnsi="仿宋_GB2312" w:eastAsia="仿宋_GB2312" w:cs="仿宋_GB2312"/>
          <w:b/>
          <w:bCs/>
          <w:sz w:val="24"/>
          <w:szCs w:val="24"/>
          <w:lang w:eastAsia="zh-CN"/>
        </w:rPr>
        <w:t>列表说明所有设备和材料的品牌、产地、参数</w:t>
      </w:r>
      <w:r>
        <w:rPr>
          <w:rFonts w:hint="eastAsia" w:ascii="仿宋_GB2312" w:hAnsi="仿宋_GB2312" w:eastAsia="仿宋_GB2312" w:cs="仿宋_GB2312"/>
          <w:sz w:val="24"/>
          <w:szCs w:val="24"/>
          <w:lang w:eastAsia="zh-CN"/>
        </w:rPr>
        <w:t>。</w:t>
      </w:r>
    </w:p>
    <w:p w14:paraId="0B16767C">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3.7 报价人的设备应满足中国有关设计、制造、安全、环保等规程、规范和强制性标准要求。如遇与供应方所执行的标准发生矛盾时，应按较高标准执行（强制性标准除外）。</w:t>
      </w:r>
    </w:p>
    <w:p w14:paraId="77CC3102">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3.8 报价人在设计、施工、调试、验证时必须要按照用户需求和设计图纸来执行。</w:t>
      </w:r>
    </w:p>
    <w:p w14:paraId="6F81223E">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3.9 所有的材料、安装、检查和测试、包装和交付、调试(包括试运行)等活动由报价人负责，必须严格按照本用户需求和相关的标准与规范来进行。</w:t>
      </w:r>
    </w:p>
    <w:p w14:paraId="480BA2ED">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3.10 密集库的设计在满足预定使用功能前提下，应尽量节省面积和空间，以节省建设投资、减低运行成本。密集库布局按照物流出入库流程合理规划，满足物流转运要求，主要库区的布置应考虑到物流转运的便利性，储存条件的符合性，物料、产品的安全性，确保物料，产品储存期间质量安全可靠，避免不必要的出入库操作，减少设备操作，减少设备运行的频率；设计还应满足各区域之间的通讯需求；建筑外观应美观现代，展示企业形象。</w:t>
      </w:r>
    </w:p>
    <w:p w14:paraId="0176486D">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3.11 仓库建设包括软件系统WMS\WCS，货架、提升机、四向车和输送系统的设计、制造、运输、安装、调试和售后服务内容。</w:t>
      </w:r>
    </w:p>
    <w:p w14:paraId="31C52769">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3.12 供电条件</w:t>
      </w:r>
    </w:p>
    <w:p w14:paraId="7385A841">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（1）电压： AC 380±10% V，三相五线制；</w:t>
      </w:r>
    </w:p>
    <w:p w14:paraId="6994CB65">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 xml:space="preserve">（2）频率： AC 50Hz±1%。 </w:t>
      </w:r>
    </w:p>
    <w:p w14:paraId="0C4BDB01">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3.13 在WMS调度下，满足仓储货物的出入库管理，确保货物管理准确性；满足成品的入库作业、自动上架存储；成品发货的自动作业需求。</w:t>
      </w:r>
    </w:p>
    <w:p w14:paraId="551D6BC3">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3.14 立体库中存储货物单托盘码放高度分别为1000/1300/1500/2100㎜（含托盘高度）。</w:t>
      </w:r>
    </w:p>
    <w:p w14:paraId="64BBECBB">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3.15 立体仓库有效货位不低于6924个，具体货位分布参考设计图纸。</w:t>
      </w:r>
    </w:p>
    <w:p w14:paraId="1875BA6C">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3.16 系统需具备独立运行能力，同时支持与企业其他关联系统的对接。</w:t>
      </w:r>
    </w:p>
    <w:p w14:paraId="777D77B4">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3.17 输送线需考虑缓存位与冗余，并考虑未来流量的增长。</w:t>
      </w:r>
    </w:p>
    <w:p w14:paraId="2366369E">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3.18 工艺布局</w:t>
      </w:r>
    </w:p>
    <w:p w14:paraId="234A198D">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（1）自动化立体仓库内所有设备、货架、电子元器件工作环境为温度范围-5℃~45℃，相对湿度&lt;90%，且现场及设备表面不结露；</w:t>
      </w:r>
    </w:p>
    <w:p w14:paraId="6CC2FB01">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（2）入库口均应配置外形检测、重量检测、固定式条码扫描器；</w:t>
      </w:r>
    </w:p>
    <w:p w14:paraId="0F244BD4">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（3）出入库使用叉车对接。</w:t>
      </w:r>
    </w:p>
    <w:p w14:paraId="7E7DBE3B">
      <w:pPr>
        <w:spacing w:line="400" w:lineRule="exact"/>
        <w:ind w:firstLine="482" w:firstLineChars="200"/>
        <w:rPr>
          <w:rFonts w:hint="eastAsia" w:ascii="仿宋_GB2312" w:hAnsi="仿宋_GB2312" w:eastAsia="仿宋_GB2312" w:cs="仿宋_GB2312"/>
          <w:color w:val="auto"/>
          <w:sz w:val="24"/>
          <w:szCs w:val="24"/>
          <w:lang w:eastAsia="zh-CN"/>
        </w:rPr>
      </w:pPr>
      <w:r>
        <w:rPr>
          <w:rFonts w:ascii="仿宋_GB2312" w:hAnsi="仿宋_GB2312" w:eastAsia="仿宋_GB2312" w:cs="仿宋_GB2312"/>
          <w:b/>
          <w:bCs/>
          <w:color w:val="auto"/>
          <w:sz w:val="24"/>
          <w:szCs w:val="24"/>
          <w:lang w:eastAsia="zh-CN"/>
        </w:rPr>
        <w:t>4．</w:t>
      </w:r>
      <w:r>
        <w:rPr>
          <w:rFonts w:hint="eastAsia" w:ascii="仿宋_GB2312" w:hAnsi="仿宋_GB2312" w:eastAsia="仿宋_GB2312" w:cs="仿宋_GB2312"/>
          <w:b/>
          <w:bCs/>
          <w:color w:val="auto"/>
          <w:sz w:val="24"/>
          <w:szCs w:val="24"/>
          <w:lang w:eastAsia="zh-CN"/>
        </w:rPr>
        <w:t>商务要求</w:t>
      </w:r>
    </w:p>
    <w:p w14:paraId="38F7E2CF">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4.1.1 交货地点：</w:t>
      </w:r>
      <w:r>
        <w:rPr>
          <w:rFonts w:hint="eastAsia" w:ascii="仿宋_GB2312" w:hAnsi="仿宋_GB2312" w:eastAsia="仿宋_GB2312" w:cs="仿宋_GB2312"/>
          <w:color w:val="auto"/>
          <w:sz w:val="24"/>
          <w:szCs w:val="24"/>
          <w:highlight w:val="none"/>
          <w:lang w:eastAsia="zh-CN"/>
        </w:rPr>
        <w:t>广州市内</w:t>
      </w:r>
      <w:r>
        <w:rPr>
          <w:rFonts w:hint="eastAsia" w:ascii="仿宋_GB2312" w:hAnsi="仿宋_GB2312" w:eastAsia="仿宋_GB2312" w:cs="仿宋_GB2312"/>
          <w:color w:val="auto"/>
          <w:sz w:val="24"/>
          <w:szCs w:val="24"/>
          <w:lang w:eastAsia="zh-CN"/>
        </w:rPr>
        <w:t>。</w:t>
      </w:r>
    </w:p>
    <w:p w14:paraId="18C4DEF7">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4.1.2包装及运输：中选人负责设备的包装，包装箱必须坚固，并做到防潮、防震和防锈，适用于海、陆运输和整体吊装。</w:t>
      </w:r>
    </w:p>
    <w:p w14:paraId="53AA734F">
      <w:pPr>
        <w:spacing w:line="400" w:lineRule="exact"/>
        <w:ind w:firstLine="482" w:firstLineChars="200"/>
        <w:rPr>
          <w:rFonts w:hint="eastAsia" w:ascii="仿宋_GB2312" w:hAnsi="仿宋_GB2312" w:eastAsia="仿宋_GB2312" w:cs="仿宋_GB2312"/>
          <w:b/>
          <w:bCs/>
          <w:color w:val="auto"/>
          <w:sz w:val="24"/>
          <w:szCs w:val="24"/>
          <w:lang w:eastAsia="zh-CN"/>
        </w:rPr>
      </w:pPr>
      <w:r>
        <w:rPr>
          <w:rFonts w:ascii="仿宋_GB2312" w:hAnsi="仿宋_GB2312" w:eastAsia="仿宋_GB2312" w:cs="仿宋_GB2312"/>
          <w:b/>
          <w:bCs/>
          <w:color w:val="auto"/>
          <w:sz w:val="24"/>
          <w:szCs w:val="24"/>
          <w:lang w:eastAsia="zh-CN"/>
        </w:rPr>
        <w:t>5．</w:t>
      </w:r>
      <w:r>
        <w:rPr>
          <w:rFonts w:hint="eastAsia" w:ascii="仿宋_GB2312" w:hAnsi="仿宋_GB2312" w:eastAsia="仿宋_GB2312" w:cs="仿宋_GB2312"/>
          <w:b/>
          <w:bCs/>
          <w:color w:val="auto"/>
          <w:sz w:val="24"/>
          <w:szCs w:val="24"/>
          <w:lang w:eastAsia="zh-CN"/>
        </w:rPr>
        <w:t>培训要求</w:t>
      </w:r>
    </w:p>
    <w:p w14:paraId="4D1685C6">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5.1 实地现场培训：在设备安装、调试完后，中选人须派出熟悉本项目的技术人员对用户的相关技术人员进行</w:t>
      </w:r>
      <w:r>
        <w:rPr>
          <w:rFonts w:hint="eastAsia" w:ascii="仿宋_GB2312" w:hAnsi="仿宋_GB2312" w:eastAsia="仿宋_GB2312" w:cs="仿宋_GB2312"/>
          <w:b/>
          <w:bCs/>
          <w:color w:val="auto"/>
          <w:sz w:val="24"/>
          <w:szCs w:val="24"/>
          <w:lang w:eastAsia="zh-CN"/>
        </w:rPr>
        <w:t>现场培训</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b/>
          <w:bCs/>
          <w:color w:val="auto"/>
          <w:sz w:val="24"/>
          <w:szCs w:val="24"/>
          <w:lang w:eastAsia="zh-CN"/>
        </w:rPr>
        <w:t>培训内容包括设备的参数设置、操作、维护保养、应急处理、简单故障排除等，相应软件技术、系统操作</w:t>
      </w:r>
      <w:r>
        <w:rPr>
          <w:rFonts w:hint="eastAsia" w:ascii="仿宋_GB2312" w:hAnsi="仿宋_GB2312" w:eastAsia="仿宋_GB2312" w:cs="仿宋_GB2312"/>
          <w:color w:val="auto"/>
          <w:sz w:val="24"/>
          <w:szCs w:val="24"/>
          <w:lang w:eastAsia="zh-CN"/>
        </w:rPr>
        <w:t>等，以确保采购人能够对货物有足够的了解和熟悉，能够独立进行日常的维护、保养和管理。</w:t>
      </w:r>
    </w:p>
    <w:p w14:paraId="7416E23B">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5.2 中选人必须为所有被培训人员提供培训用文字资料和讲义等相关用品。所有的资料必须是中文书写。</w:t>
      </w:r>
    </w:p>
    <w:p w14:paraId="2CF1E174">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5.3 报价人应将所有培训费用（含培训教材、差旅、食宿费用等）包含在报价总价内。</w:t>
      </w:r>
    </w:p>
    <w:p w14:paraId="5662E7E5">
      <w:pPr>
        <w:spacing w:line="400" w:lineRule="exact"/>
        <w:ind w:firstLine="482" w:firstLineChars="200"/>
        <w:rPr>
          <w:rFonts w:hint="eastAsia" w:ascii="仿宋_GB2312" w:hAnsi="仿宋_GB2312" w:eastAsia="仿宋_GB2312" w:cs="仿宋_GB2312"/>
          <w:b/>
          <w:bCs/>
          <w:color w:val="auto"/>
          <w:sz w:val="24"/>
          <w:szCs w:val="24"/>
          <w:lang w:eastAsia="zh-CN"/>
        </w:rPr>
      </w:pPr>
      <w:r>
        <w:rPr>
          <w:rFonts w:ascii="仿宋_GB2312" w:hAnsi="仿宋_GB2312" w:eastAsia="仿宋_GB2312" w:cs="仿宋_GB2312"/>
          <w:b/>
          <w:bCs/>
          <w:color w:val="auto"/>
          <w:sz w:val="24"/>
          <w:szCs w:val="24"/>
          <w:lang w:eastAsia="zh-CN"/>
        </w:rPr>
        <w:t>6．</w:t>
      </w:r>
      <w:r>
        <w:rPr>
          <w:rFonts w:hint="eastAsia" w:ascii="仿宋_GB2312" w:hAnsi="仿宋_GB2312" w:eastAsia="仿宋_GB2312" w:cs="仿宋_GB2312"/>
          <w:b/>
          <w:bCs/>
          <w:color w:val="auto"/>
          <w:sz w:val="24"/>
          <w:szCs w:val="24"/>
          <w:lang w:eastAsia="zh-CN"/>
        </w:rPr>
        <w:t>验收要求</w:t>
      </w:r>
    </w:p>
    <w:p w14:paraId="2B672458">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6.1要求对</w:t>
      </w:r>
      <w:r>
        <w:rPr>
          <w:rFonts w:hint="eastAsia" w:ascii="仿宋_GB2312" w:hAnsi="仿宋_GB2312" w:eastAsia="仿宋_GB2312" w:cs="仿宋_GB2312"/>
          <w:b w:val="0"/>
          <w:bCs w:val="0"/>
          <w:color w:val="auto"/>
          <w:sz w:val="24"/>
          <w:szCs w:val="24"/>
          <w:highlight w:val="none"/>
          <w:lang w:eastAsia="zh-CN"/>
        </w:rPr>
        <w:t>全部设备、产品、型号、规格、数量、外型、外观、包装及资料、文件（如装箱单.保修单、随箱介质等）</w:t>
      </w:r>
      <w:r>
        <w:rPr>
          <w:rFonts w:hint="eastAsia" w:ascii="仿宋_GB2312" w:hAnsi="仿宋_GB2312" w:eastAsia="仿宋_GB2312" w:cs="仿宋_GB2312"/>
          <w:color w:val="auto"/>
          <w:sz w:val="24"/>
          <w:szCs w:val="24"/>
          <w:highlight w:val="none"/>
          <w:lang w:eastAsia="zh-CN"/>
        </w:rPr>
        <w:t>的验收。</w:t>
      </w:r>
    </w:p>
    <w:p w14:paraId="2EEA09E1">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highlight w:val="none"/>
          <w:lang w:eastAsia="zh-CN"/>
        </w:rPr>
        <w:t>6.2中选人应负责在项目验收时将</w:t>
      </w:r>
      <w:r>
        <w:rPr>
          <w:rFonts w:hint="eastAsia" w:ascii="仿宋_GB2312" w:hAnsi="仿宋_GB2312" w:eastAsia="仿宋_GB2312" w:cs="仿宋_GB2312"/>
          <w:b w:val="0"/>
          <w:bCs w:val="0"/>
          <w:color w:val="auto"/>
          <w:sz w:val="24"/>
          <w:szCs w:val="24"/>
          <w:highlight w:val="none"/>
          <w:lang w:eastAsia="zh-CN"/>
        </w:rPr>
        <w:t>系统的全部有关产品说明书、原厂家安装手册、技术文件资料、及安装、验收报告等文档汇集成册交付</w:t>
      </w:r>
      <w:r>
        <w:rPr>
          <w:rFonts w:hint="eastAsia" w:ascii="仿宋_GB2312" w:hAnsi="仿宋_GB2312" w:eastAsia="仿宋_GB2312" w:cs="仿宋_GB2312"/>
          <w:color w:val="auto"/>
          <w:sz w:val="24"/>
          <w:szCs w:val="24"/>
          <w:highlight w:val="none"/>
          <w:lang w:eastAsia="zh-CN"/>
        </w:rPr>
        <w:t>设备使用单位。</w:t>
      </w:r>
    </w:p>
    <w:p w14:paraId="6389C245">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6.3保修期限及售后服务</w:t>
      </w:r>
    </w:p>
    <w:p w14:paraId="36EEC07C">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6.4质量保证期：至少提供自项目验收报告签署之日起12个月的质保服务。质保期内任何的软、硬件的损坏、故障等造成系统不能正常使用的情况均由中标人免费维修。提供1个月1位工程师驻场服务。</w:t>
      </w:r>
      <w:r>
        <w:rPr>
          <w:rFonts w:hint="eastAsia" w:ascii="仿宋_GB2312" w:hAnsi="仿宋_GB2312" w:eastAsia="仿宋_GB2312" w:cs="仿宋_GB2312"/>
          <w:color w:val="auto"/>
          <w:sz w:val="24"/>
          <w:szCs w:val="24"/>
          <w:highlight w:val="none"/>
          <w:lang w:eastAsia="zh-CN"/>
        </w:rPr>
        <w:t>期满后可同时提供终身有偿维修保养服务，具体由报价人</w:t>
      </w:r>
      <w:r>
        <w:rPr>
          <w:rFonts w:hint="eastAsia" w:ascii="仿宋_GB2312" w:hAnsi="仿宋_GB2312" w:eastAsia="仿宋_GB2312" w:cs="仿宋_GB2312"/>
          <w:b w:val="0"/>
          <w:bCs w:val="0"/>
          <w:color w:val="auto"/>
          <w:sz w:val="24"/>
          <w:szCs w:val="24"/>
          <w:highlight w:val="none"/>
          <w:lang w:eastAsia="zh-CN"/>
        </w:rPr>
        <w:t>在报价文件中承诺</w:t>
      </w:r>
      <w:r>
        <w:rPr>
          <w:rFonts w:hint="eastAsia" w:ascii="仿宋_GB2312" w:hAnsi="仿宋_GB2312" w:eastAsia="仿宋_GB2312" w:cs="仿宋_GB2312"/>
          <w:color w:val="auto"/>
          <w:sz w:val="24"/>
          <w:szCs w:val="24"/>
          <w:highlight w:val="none"/>
          <w:lang w:eastAsia="zh-CN"/>
        </w:rPr>
        <w:t>。质保期内采购人对中选人享有追索权</w:t>
      </w:r>
      <w:r>
        <w:rPr>
          <w:rFonts w:hint="eastAsia" w:ascii="仿宋_GB2312" w:hAnsi="仿宋_GB2312" w:eastAsia="仿宋_GB2312" w:cs="仿宋_GB2312"/>
          <w:color w:val="auto"/>
          <w:sz w:val="24"/>
          <w:szCs w:val="24"/>
          <w:lang w:eastAsia="zh-CN"/>
        </w:rPr>
        <w:t>。</w:t>
      </w:r>
    </w:p>
    <w:p w14:paraId="005B32B6">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lang w:eastAsia="zh-CN"/>
        </w:rPr>
        <w:t xml:space="preserve">6.5 </w:t>
      </w:r>
      <w:r>
        <w:rPr>
          <w:rFonts w:hint="eastAsia" w:ascii="仿宋_GB2312" w:hAnsi="仿宋_GB2312" w:eastAsia="仿宋_GB2312" w:cs="仿宋_GB2312"/>
          <w:color w:val="auto"/>
          <w:sz w:val="24"/>
          <w:szCs w:val="24"/>
          <w:highlight w:val="none"/>
          <w:lang w:eastAsia="zh-CN"/>
        </w:rPr>
        <w:t>质保期内，当设备出现问题时，中选人在接到采购人维修通知后，</w:t>
      </w:r>
      <w:r>
        <w:rPr>
          <w:rFonts w:hint="eastAsia" w:ascii="仿宋_GB2312" w:hAnsi="仿宋_GB2312" w:eastAsia="仿宋_GB2312" w:cs="仿宋_GB2312"/>
          <w:b w:val="0"/>
          <w:bCs w:val="0"/>
          <w:color w:val="auto"/>
          <w:sz w:val="24"/>
          <w:szCs w:val="24"/>
          <w:highlight w:val="none"/>
          <w:lang w:eastAsia="zh-CN"/>
        </w:rPr>
        <w:t>4小时内专人跟进做出答复</w:t>
      </w:r>
      <w:r>
        <w:rPr>
          <w:rFonts w:hint="eastAsia" w:ascii="仿宋_GB2312" w:hAnsi="仿宋_GB2312" w:eastAsia="仿宋_GB2312" w:cs="仿宋_GB2312"/>
          <w:color w:val="auto"/>
          <w:sz w:val="24"/>
          <w:szCs w:val="24"/>
          <w:highlight w:val="none"/>
          <w:lang w:eastAsia="zh-CN"/>
        </w:rPr>
        <w:t>，在电话、传真、网络等沟通渠道指导下不能解决问题时，中选人需派遣维修人员于</w:t>
      </w:r>
      <w:r>
        <w:rPr>
          <w:rFonts w:hint="eastAsia" w:ascii="仿宋_GB2312" w:hAnsi="仿宋_GB2312" w:eastAsia="仿宋_GB2312" w:cs="仿宋_GB2312"/>
          <w:b w:val="0"/>
          <w:bCs w:val="0"/>
          <w:color w:val="auto"/>
          <w:sz w:val="24"/>
          <w:szCs w:val="24"/>
          <w:highlight w:val="none"/>
          <w:lang w:eastAsia="zh-CN"/>
        </w:rPr>
        <w:t>2个工作日内</w:t>
      </w:r>
      <w:r>
        <w:rPr>
          <w:rFonts w:hint="eastAsia" w:ascii="仿宋_GB2312" w:hAnsi="仿宋_GB2312" w:eastAsia="仿宋_GB2312" w:cs="仿宋_GB2312"/>
          <w:color w:val="auto"/>
          <w:sz w:val="24"/>
          <w:szCs w:val="24"/>
          <w:highlight w:val="none"/>
          <w:lang w:eastAsia="zh-CN"/>
        </w:rPr>
        <w:t>（不含路途时间）到设备所在地并提出解决方案。</w:t>
      </w:r>
    </w:p>
    <w:p w14:paraId="45B5258B">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6.6</w:t>
      </w:r>
      <w:r>
        <w:rPr>
          <w:rFonts w:hint="eastAsia" w:ascii="仿宋_GB2312" w:hAnsi="仿宋_GB2312" w:eastAsia="仿宋_GB2312" w:cs="仿宋_GB2312"/>
          <w:b w:val="0"/>
          <w:bCs w:val="0"/>
          <w:color w:val="auto"/>
          <w:sz w:val="24"/>
          <w:szCs w:val="24"/>
          <w:highlight w:val="none"/>
          <w:lang w:eastAsia="zh-CN"/>
        </w:rPr>
        <w:t>质保期满1个月前由中选人对采购人的仪器进行一次免费的、全面的检查</w:t>
      </w:r>
      <w:r>
        <w:rPr>
          <w:rFonts w:hint="eastAsia" w:ascii="仿宋_GB2312" w:hAnsi="仿宋_GB2312" w:eastAsia="仿宋_GB2312" w:cs="仿宋_GB2312"/>
          <w:color w:val="auto"/>
          <w:sz w:val="24"/>
          <w:szCs w:val="24"/>
          <w:highlight w:val="none"/>
          <w:lang w:eastAsia="zh-CN"/>
        </w:rPr>
        <w:t>。如发现问题或潜在的问题，应在保修期内将问题解决。</w:t>
      </w:r>
    </w:p>
    <w:p w14:paraId="516E0C87">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highlight w:val="none"/>
          <w:lang w:eastAsia="zh-CN"/>
        </w:rPr>
        <w:t>6.7任何时候，中选人均不能免除因货物本身的缺陷所应负的责任。</w:t>
      </w:r>
    </w:p>
    <w:p w14:paraId="05E386C4">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6.8售后服务要求：</w:t>
      </w:r>
      <w:r>
        <w:rPr>
          <w:rFonts w:hint="eastAsia" w:ascii="仿宋_GB2312" w:hAnsi="仿宋_GB2312" w:eastAsia="仿宋_GB2312" w:cs="仿宋_GB2312"/>
          <w:b w:val="0"/>
          <w:bCs w:val="0"/>
          <w:color w:val="auto"/>
          <w:sz w:val="24"/>
          <w:szCs w:val="24"/>
          <w:highlight w:val="none"/>
          <w:lang w:eastAsia="zh-CN"/>
        </w:rPr>
        <w:t>质保期内须提供常设7天×24小时热线服务和长期的免费技术支持</w:t>
      </w:r>
      <w:r>
        <w:rPr>
          <w:rFonts w:hint="eastAsia" w:ascii="仿宋_GB2312" w:hAnsi="仿宋_GB2312" w:eastAsia="仿宋_GB2312" w:cs="仿宋_GB2312"/>
          <w:color w:val="auto"/>
          <w:sz w:val="24"/>
          <w:szCs w:val="24"/>
          <w:highlight w:val="none"/>
          <w:lang w:eastAsia="zh-CN"/>
        </w:rPr>
        <w:t>。对采购人的故障通知，如电话响应无法解决的，</w:t>
      </w:r>
      <w:r>
        <w:rPr>
          <w:rFonts w:hint="eastAsia" w:ascii="仿宋_GB2312" w:hAnsi="仿宋_GB2312" w:eastAsia="仿宋_GB2312" w:cs="仿宋_GB2312"/>
          <w:b w:val="0"/>
          <w:bCs w:val="0"/>
          <w:color w:val="auto"/>
          <w:sz w:val="24"/>
          <w:szCs w:val="24"/>
          <w:highlight w:val="none"/>
          <w:lang w:eastAsia="zh-CN"/>
        </w:rPr>
        <w:t>报修响应时间为48小时</w:t>
      </w:r>
      <w:r>
        <w:rPr>
          <w:rFonts w:hint="eastAsia" w:ascii="仿宋_GB2312" w:hAnsi="仿宋_GB2312" w:eastAsia="仿宋_GB2312" w:cs="仿宋_GB2312"/>
          <w:color w:val="auto"/>
          <w:sz w:val="24"/>
          <w:szCs w:val="24"/>
          <w:highlight w:val="none"/>
          <w:lang w:eastAsia="zh-CN"/>
        </w:rPr>
        <w:t>，48小时内维修工程师赶到现场。对于在48小时内无法解决的其它较大的问题，应在</w:t>
      </w:r>
      <w:r>
        <w:rPr>
          <w:rFonts w:hint="eastAsia" w:ascii="仿宋_GB2312" w:hAnsi="仿宋_GB2312" w:eastAsia="仿宋_GB2312" w:cs="仿宋_GB2312"/>
          <w:b w:val="0"/>
          <w:bCs w:val="0"/>
          <w:color w:val="auto"/>
          <w:sz w:val="24"/>
          <w:szCs w:val="24"/>
          <w:highlight w:val="none"/>
          <w:lang w:eastAsia="zh-CN"/>
        </w:rPr>
        <w:t>3天内给以解决</w:t>
      </w:r>
      <w:r>
        <w:rPr>
          <w:rFonts w:hint="eastAsia" w:ascii="仿宋_GB2312" w:hAnsi="仿宋_GB2312" w:eastAsia="仿宋_GB2312" w:cs="仿宋_GB2312"/>
          <w:color w:val="auto"/>
          <w:sz w:val="24"/>
          <w:szCs w:val="24"/>
          <w:highlight w:val="none"/>
          <w:lang w:eastAsia="zh-CN"/>
        </w:rPr>
        <w:t>；对于在3天内不能解决的问题，应提出明确的解决方案，得到采购人的认可后，在预定的期限内解决问题。</w:t>
      </w:r>
    </w:p>
    <w:p w14:paraId="04B5BA04">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6.9</w:t>
      </w:r>
      <w:r>
        <w:rPr>
          <w:rFonts w:hint="eastAsia" w:ascii="仿宋_GB2312" w:hAnsi="仿宋_GB2312" w:eastAsia="仿宋_GB2312" w:cs="仿宋_GB2312"/>
          <w:b w:val="0"/>
          <w:bCs w:val="0"/>
          <w:color w:val="auto"/>
          <w:sz w:val="24"/>
          <w:szCs w:val="24"/>
          <w:highlight w:val="none"/>
          <w:lang w:eastAsia="zh-CN"/>
        </w:rPr>
        <w:t>所有软件质保期内免费维护升级，具体由报价人在报价文件中承诺</w:t>
      </w:r>
      <w:r>
        <w:rPr>
          <w:rFonts w:hint="eastAsia" w:ascii="仿宋_GB2312" w:hAnsi="仿宋_GB2312" w:eastAsia="仿宋_GB2312" w:cs="仿宋_GB2312"/>
          <w:color w:val="auto"/>
          <w:sz w:val="24"/>
          <w:szCs w:val="24"/>
          <w:highlight w:val="none"/>
          <w:lang w:eastAsia="zh-CN"/>
        </w:rPr>
        <w:t>。</w:t>
      </w:r>
    </w:p>
    <w:p w14:paraId="4AADD064">
      <w:pPr>
        <w:spacing w:line="400" w:lineRule="exact"/>
        <w:ind w:firstLine="480" w:firstLineChars="200"/>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6.10所有保修服务方式均为中选人上门保修，即由中选人派员到采购人使用现场维护。由此产生的一切费用均由中选人承担。</w:t>
      </w:r>
    </w:p>
    <w:p w14:paraId="09207B3A">
      <w:pPr>
        <w:spacing w:line="400" w:lineRule="exact"/>
        <w:ind w:firstLine="480" w:firstLineChars="200"/>
        <w:rPr>
          <w:rFonts w:hint="eastAsia" w:ascii="仿宋_GB2312" w:hAnsi="仿宋_GB2312" w:eastAsia="仿宋_GB2312" w:cs="仿宋_GB2312"/>
          <w:color w:val="auto"/>
          <w:sz w:val="24"/>
          <w:szCs w:val="24"/>
          <w:lang w:val="en-AU" w:eastAsia="zh-CN"/>
        </w:rPr>
      </w:pPr>
      <w:r>
        <w:rPr>
          <w:rFonts w:hint="eastAsia" w:ascii="仿宋_GB2312" w:hAnsi="仿宋_GB2312" w:eastAsia="仿宋_GB2312" w:cs="仿宋_GB2312"/>
          <w:color w:val="auto"/>
          <w:sz w:val="24"/>
          <w:szCs w:val="24"/>
          <w:lang w:val="en-AU" w:eastAsia="zh-CN"/>
        </w:rPr>
        <w:t>质保期内中</w:t>
      </w:r>
      <w:r>
        <w:rPr>
          <w:rFonts w:hint="eastAsia" w:ascii="仿宋_GB2312" w:hAnsi="仿宋_GB2312" w:eastAsia="仿宋_GB2312" w:cs="仿宋_GB2312"/>
          <w:color w:val="auto"/>
          <w:sz w:val="24"/>
          <w:szCs w:val="24"/>
          <w:lang w:eastAsia="zh-CN"/>
        </w:rPr>
        <w:t>选</w:t>
      </w:r>
      <w:r>
        <w:rPr>
          <w:rFonts w:hint="eastAsia" w:ascii="仿宋_GB2312" w:hAnsi="仿宋_GB2312" w:eastAsia="仿宋_GB2312" w:cs="仿宋_GB2312"/>
          <w:color w:val="auto"/>
          <w:sz w:val="24"/>
          <w:szCs w:val="24"/>
          <w:lang w:val="en-AU" w:eastAsia="zh-CN"/>
        </w:rPr>
        <w:t>人应对软硬件在使用过程中发现的瑕疵进行现场免费的修复和升级；</w:t>
      </w:r>
    </w:p>
    <w:p w14:paraId="3E240CF4">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报价人应在报价方案中详述质保期内保证系统正常运行的措施及发生故障时如何快速修复的措施；</w:t>
      </w:r>
    </w:p>
    <w:p w14:paraId="0811BEEA">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报价时须列出设备运行1年内易耗和易损备件清单（含价格及货期）；</w:t>
      </w:r>
    </w:p>
    <w:p w14:paraId="2BD5DB6B">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报价人在设备发生故障时,满足在接到通知后2小时响应并提出解决方案，无法电话沟通处理的须8小时内赶到现场解决问题。报价人设备平均故障间隔时间（MTBF）和设备故障平均修复时间（MTTR）都须达到行业先进水平甚至领先水平；</w:t>
      </w:r>
    </w:p>
    <w:p w14:paraId="464F6B7E">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报价人针对售后服务板块在技术标书中需要提供自己公司一套完整的项目售后服务方案或运维响应流程；</w:t>
      </w:r>
    </w:p>
    <w:p w14:paraId="6FDB8F85">
      <w:pPr>
        <w:spacing w:line="400" w:lineRule="exact"/>
        <w:ind w:firstLine="480" w:firstLineChars="200"/>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报价人应在质保期内提供免费一年两次的预防性维护保养。预防性维护保养应包括所有设备的检查、清洁、润滑、维修等。报价人应在提供的售后服务方案中提供详细的预防性维护保养范围及保养方案。在设备生命周期内提供每年至少一次的定期回访，指导人员操作、提出维护建议、评估系统的性能等；</w:t>
      </w:r>
    </w:p>
    <w:p w14:paraId="551DDDD9">
      <w:pPr>
        <w:spacing w:line="400" w:lineRule="exact"/>
        <w:ind w:firstLine="482" w:firstLineChars="200"/>
        <w:rPr>
          <w:rFonts w:hint="eastAsia" w:ascii="仿宋_GB2312" w:hAnsi="仿宋_GB2312" w:eastAsia="仿宋_GB2312" w:cs="仿宋_GB2312"/>
          <w:b/>
          <w:bCs/>
          <w:color w:val="auto"/>
          <w:sz w:val="24"/>
          <w:szCs w:val="24"/>
          <w:lang w:val="en-GB" w:eastAsia="zh-CN"/>
        </w:rPr>
      </w:pPr>
      <w:r>
        <w:rPr>
          <w:rFonts w:hint="eastAsia" w:ascii="仿宋_GB2312" w:hAnsi="仿宋_GB2312" w:eastAsia="仿宋_GB2312" w:cs="仿宋_GB2312"/>
          <w:b/>
          <w:bCs/>
          <w:color w:val="auto"/>
          <w:sz w:val="24"/>
          <w:szCs w:val="24"/>
          <w:lang w:eastAsia="zh-CN"/>
        </w:rPr>
        <w:t>7.</w:t>
      </w:r>
      <w:r>
        <w:rPr>
          <w:rFonts w:hint="eastAsia" w:ascii="仿宋_GB2312" w:hAnsi="仿宋_GB2312" w:eastAsia="仿宋_GB2312" w:cs="仿宋_GB2312"/>
          <w:b/>
          <w:bCs/>
          <w:color w:val="auto"/>
          <w:sz w:val="24"/>
          <w:szCs w:val="24"/>
          <w:lang w:val="en-GB" w:eastAsia="zh-CN"/>
        </w:rPr>
        <w:t>法律和国家标准</w:t>
      </w:r>
    </w:p>
    <w:p w14:paraId="75D4A379">
      <w:pPr>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项目涉及要求包括但不限于以下法规标准：</w:t>
      </w:r>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5"/>
        <w:gridCol w:w="6495"/>
      </w:tblGrid>
      <w:tr w14:paraId="506B1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88" w:type="pct"/>
            <w:shd w:val="clear" w:color="auto" w:fill="E0E0E0"/>
          </w:tcPr>
          <w:p w14:paraId="79904A65">
            <w:pPr>
              <w:spacing w:line="360" w:lineRule="auto"/>
              <w:ind w:firstLine="422" w:firstLineChars="200"/>
              <w:rPr>
                <w:rFonts w:hint="eastAsia" w:ascii="宋体" w:hAnsi="宋体" w:eastAsia="宋体" w:cs="宋体"/>
                <w:b/>
                <w:color w:val="auto"/>
              </w:rPr>
            </w:pPr>
            <w:r>
              <w:rPr>
                <w:rFonts w:hint="eastAsia" w:ascii="宋体" w:hAnsi="宋体" w:eastAsia="宋体" w:cs="宋体"/>
                <w:b/>
                <w:color w:val="auto"/>
              </w:rPr>
              <w:t>代号</w:t>
            </w:r>
          </w:p>
        </w:tc>
        <w:tc>
          <w:tcPr>
            <w:tcW w:w="3811" w:type="pct"/>
            <w:shd w:val="clear" w:color="auto" w:fill="E0E0E0"/>
          </w:tcPr>
          <w:p w14:paraId="2F830532">
            <w:pPr>
              <w:spacing w:line="360" w:lineRule="auto"/>
              <w:ind w:firstLine="422" w:firstLineChars="200"/>
              <w:rPr>
                <w:rFonts w:hint="eastAsia" w:ascii="宋体" w:hAnsi="宋体" w:eastAsia="宋体" w:cs="宋体"/>
                <w:b/>
                <w:color w:val="auto"/>
              </w:rPr>
            </w:pPr>
            <w:r>
              <w:rPr>
                <w:rFonts w:hint="eastAsia" w:ascii="宋体" w:hAnsi="宋体" w:eastAsia="宋体" w:cs="宋体"/>
                <w:b/>
                <w:color w:val="auto"/>
              </w:rPr>
              <w:t>名称</w:t>
            </w:r>
          </w:p>
        </w:tc>
      </w:tr>
      <w:tr w14:paraId="46331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3747FD1C">
            <w:pPr>
              <w:spacing w:line="360" w:lineRule="auto"/>
              <w:jc w:val="center"/>
              <w:rPr>
                <w:rFonts w:hint="eastAsia" w:ascii="宋体" w:hAnsi="宋体" w:eastAsia="宋体" w:cs="宋体"/>
                <w:color w:val="auto"/>
              </w:rPr>
            </w:pPr>
            <w:r>
              <w:rPr>
                <w:rFonts w:hint="eastAsia" w:ascii="宋体" w:hAnsi="宋体" w:eastAsia="宋体" w:cs="宋体"/>
                <w:color w:val="auto"/>
              </w:rPr>
              <w:t>GB 12265.3-1997</w:t>
            </w:r>
          </w:p>
        </w:tc>
        <w:tc>
          <w:tcPr>
            <w:tcW w:w="3811" w:type="pct"/>
          </w:tcPr>
          <w:p w14:paraId="5FC5E6C6">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机械安全避免人体各部位挤压的最小间距</w:t>
            </w:r>
          </w:p>
        </w:tc>
      </w:tr>
      <w:tr w14:paraId="7505B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321F8C01">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2894－1996</w:t>
            </w:r>
          </w:p>
        </w:tc>
        <w:tc>
          <w:tcPr>
            <w:tcW w:w="3811" w:type="pct"/>
          </w:tcPr>
          <w:p w14:paraId="7F4AD621">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安全标志</w:t>
            </w:r>
          </w:p>
        </w:tc>
      </w:tr>
      <w:tr w14:paraId="00F0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76B254A1">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2894-3008</w:t>
            </w:r>
          </w:p>
        </w:tc>
        <w:tc>
          <w:tcPr>
            <w:tcW w:w="3811" w:type="pct"/>
          </w:tcPr>
          <w:p w14:paraId="3265A823">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安全标志及其使用导则</w:t>
            </w:r>
          </w:p>
        </w:tc>
      </w:tr>
      <w:tr w14:paraId="65660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17F26FB1">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3811-2008</w:t>
            </w:r>
          </w:p>
        </w:tc>
        <w:tc>
          <w:tcPr>
            <w:tcW w:w="3811" w:type="pct"/>
          </w:tcPr>
          <w:p w14:paraId="4AB38E47">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起重机设计规范</w:t>
            </w:r>
          </w:p>
        </w:tc>
      </w:tr>
      <w:tr w14:paraId="069E0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166F820C">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50009-2001</w:t>
            </w:r>
          </w:p>
        </w:tc>
        <w:tc>
          <w:tcPr>
            <w:tcW w:w="3811" w:type="pct"/>
          </w:tcPr>
          <w:p w14:paraId="4EDCC5D3">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建筑结构荷载规范（2005版）</w:t>
            </w:r>
          </w:p>
        </w:tc>
      </w:tr>
      <w:tr w14:paraId="2B93B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7701A266">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50009-2012</w:t>
            </w:r>
          </w:p>
        </w:tc>
        <w:tc>
          <w:tcPr>
            <w:tcW w:w="3811" w:type="pct"/>
          </w:tcPr>
          <w:p w14:paraId="14C02D3A">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建筑结构荷载规范</w:t>
            </w:r>
          </w:p>
        </w:tc>
      </w:tr>
      <w:tr w14:paraId="0A308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5D8AF927">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50011-2010</w:t>
            </w:r>
          </w:p>
        </w:tc>
        <w:tc>
          <w:tcPr>
            <w:tcW w:w="3811" w:type="pct"/>
          </w:tcPr>
          <w:p w14:paraId="378526DC">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建筑抗震设计规范</w:t>
            </w:r>
          </w:p>
        </w:tc>
      </w:tr>
      <w:tr w14:paraId="0AB9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031DD3AB">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50016-2012</w:t>
            </w:r>
          </w:p>
        </w:tc>
        <w:tc>
          <w:tcPr>
            <w:tcW w:w="3811" w:type="pct"/>
          </w:tcPr>
          <w:p w14:paraId="2A4DEE3C">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建筑设计防火规范</w:t>
            </w:r>
          </w:p>
        </w:tc>
      </w:tr>
      <w:tr w14:paraId="7A37A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00D61B0D">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50017-2003</w:t>
            </w:r>
          </w:p>
        </w:tc>
        <w:tc>
          <w:tcPr>
            <w:tcW w:w="3811" w:type="pct"/>
          </w:tcPr>
          <w:p w14:paraId="30D86F6E">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钢结构设计规范</w:t>
            </w:r>
          </w:p>
        </w:tc>
      </w:tr>
      <w:tr w14:paraId="40ECA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432E6AD6">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50018-2008</w:t>
            </w:r>
          </w:p>
        </w:tc>
        <w:tc>
          <w:tcPr>
            <w:tcW w:w="3811" w:type="pct"/>
          </w:tcPr>
          <w:p w14:paraId="66C57A2B">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冷弯薄壁钢结构技术规范</w:t>
            </w:r>
          </w:p>
        </w:tc>
      </w:tr>
      <w:tr w14:paraId="45470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521F157E">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50057-94</w:t>
            </w:r>
          </w:p>
        </w:tc>
        <w:tc>
          <w:tcPr>
            <w:tcW w:w="3811" w:type="pct"/>
          </w:tcPr>
          <w:p w14:paraId="0D886994">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建筑物防雷设计规范（2000版）</w:t>
            </w:r>
          </w:p>
        </w:tc>
      </w:tr>
      <w:tr w14:paraId="1EBCA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Pr>
          <w:p w14:paraId="51FDBC3A">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50084-3018</w:t>
            </w:r>
          </w:p>
        </w:tc>
        <w:tc>
          <w:tcPr>
            <w:tcW w:w="3811" w:type="pct"/>
          </w:tcPr>
          <w:p w14:paraId="0E2AE5C0">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自动喷水灭火系统设计规范（2018版）</w:t>
            </w:r>
          </w:p>
        </w:tc>
      </w:tr>
      <w:tr w14:paraId="37CC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456E352B">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50116-98</w:t>
            </w:r>
          </w:p>
        </w:tc>
        <w:tc>
          <w:tcPr>
            <w:tcW w:w="3811" w:type="pct"/>
            <w:tcBorders>
              <w:top w:val="single" w:color="auto" w:sz="4" w:space="0"/>
              <w:left w:val="single" w:color="auto" w:sz="4" w:space="0"/>
              <w:bottom w:val="single" w:color="auto" w:sz="4" w:space="0"/>
              <w:right w:val="single" w:color="auto" w:sz="4" w:space="0"/>
            </w:tcBorders>
          </w:tcPr>
          <w:p w14:paraId="2FFA7E4D">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火灾自动报警系统设计规范</w:t>
            </w:r>
          </w:p>
        </w:tc>
      </w:tr>
      <w:tr w14:paraId="0F65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2B4DC630">
            <w:pPr>
              <w:spacing w:line="360" w:lineRule="auto"/>
              <w:ind w:firstLine="420" w:firstLineChars="200"/>
              <w:rPr>
                <w:rFonts w:hint="eastAsia" w:ascii="宋体" w:hAnsi="宋体" w:eastAsia="宋体" w:cs="宋体"/>
                <w:color w:val="auto"/>
              </w:rPr>
            </w:pPr>
            <w:r>
              <w:rPr>
                <w:rFonts w:hint="eastAsia" w:ascii="宋体" w:hAnsi="宋体" w:eastAsia="宋体" w:cs="宋体"/>
                <w:color w:val="auto"/>
              </w:rPr>
              <w:t>GB 50140-2005</w:t>
            </w:r>
          </w:p>
        </w:tc>
        <w:tc>
          <w:tcPr>
            <w:tcW w:w="3811" w:type="pct"/>
            <w:tcBorders>
              <w:top w:val="single" w:color="auto" w:sz="4" w:space="0"/>
              <w:left w:val="single" w:color="auto" w:sz="4" w:space="0"/>
              <w:bottom w:val="single" w:color="auto" w:sz="4" w:space="0"/>
              <w:right w:val="single" w:color="auto" w:sz="4" w:space="0"/>
            </w:tcBorders>
          </w:tcPr>
          <w:p w14:paraId="61B8F395">
            <w:pPr>
              <w:spacing w:line="360" w:lineRule="auto"/>
              <w:ind w:firstLine="420" w:firstLineChars="200"/>
              <w:rPr>
                <w:rFonts w:hint="eastAsia" w:ascii="宋体" w:hAnsi="宋体" w:eastAsia="宋体" w:cs="宋体"/>
                <w:color w:val="auto"/>
                <w:lang w:eastAsia="zh-CN"/>
              </w:rPr>
            </w:pPr>
            <w:r>
              <w:rPr>
                <w:rFonts w:hint="eastAsia" w:ascii="宋体" w:hAnsi="宋体" w:eastAsia="宋体" w:cs="宋体"/>
                <w:color w:val="auto"/>
                <w:lang w:eastAsia="zh-CN"/>
              </w:rPr>
              <w:t>建筑灭火器配置设计规范</w:t>
            </w:r>
          </w:p>
        </w:tc>
      </w:tr>
      <w:tr w14:paraId="5143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422B40EE">
            <w:pPr>
              <w:spacing w:line="360" w:lineRule="auto"/>
              <w:ind w:firstLine="420" w:firstLineChars="200"/>
              <w:rPr>
                <w:rFonts w:hint="eastAsia" w:ascii="宋体" w:hAnsi="宋体" w:eastAsia="宋体" w:cs="宋体"/>
              </w:rPr>
            </w:pPr>
            <w:r>
              <w:rPr>
                <w:rFonts w:hint="eastAsia" w:ascii="宋体" w:hAnsi="宋体" w:eastAsia="宋体" w:cs="宋体"/>
              </w:rPr>
              <w:t>GB 50176-93</w:t>
            </w:r>
          </w:p>
        </w:tc>
        <w:tc>
          <w:tcPr>
            <w:tcW w:w="3811" w:type="pct"/>
            <w:tcBorders>
              <w:top w:val="single" w:color="auto" w:sz="4" w:space="0"/>
              <w:left w:val="single" w:color="auto" w:sz="4" w:space="0"/>
              <w:bottom w:val="single" w:color="auto" w:sz="4" w:space="0"/>
              <w:right w:val="single" w:color="auto" w:sz="4" w:space="0"/>
            </w:tcBorders>
          </w:tcPr>
          <w:p w14:paraId="1066C294">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民用建筑热工设计规范</w:t>
            </w:r>
          </w:p>
        </w:tc>
      </w:tr>
      <w:tr w14:paraId="2CE23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239102D9">
            <w:pPr>
              <w:spacing w:line="360" w:lineRule="auto"/>
              <w:ind w:firstLine="420" w:firstLineChars="200"/>
              <w:rPr>
                <w:rFonts w:hint="eastAsia" w:ascii="宋体" w:hAnsi="宋体" w:eastAsia="宋体" w:cs="宋体"/>
              </w:rPr>
            </w:pPr>
            <w:r>
              <w:rPr>
                <w:rFonts w:hint="eastAsia" w:ascii="宋体" w:hAnsi="宋体" w:eastAsia="宋体" w:cs="宋体"/>
              </w:rPr>
              <w:t>GB 50205-2001</w:t>
            </w:r>
          </w:p>
        </w:tc>
        <w:tc>
          <w:tcPr>
            <w:tcW w:w="3811" w:type="pct"/>
            <w:tcBorders>
              <w:top w:val="single" w:color="auto" w:sz="4" w:space="0"/>
              <w:left w:val="single" w:color="auto" w:sz="4" w:space="0"/>
              <w:bottom w:val="single" w:color="auto" w:sz="4" w:space="0"/>
              <w:right w:val="single" w:color="auto" w:sz="4" w:space="0"/>
            </w:tcBorders>
          </w:tcPr>
          <w:p w14:paraId="0D270472">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钢结构工程施工质量验收规范上肢触及危险区的安全距离</w:t>
            </w:r>
          </w:p>
        </w:tc>
      </w:tr>
      <w:tr w14:paraId="26098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7CCE3970">
            <w:pPr>
              <w:spacing w:line="360" w:lineRule="auto"/>
              <w:ind w:firstLine="420" w:firstLineChars="200"/>
              <w:rPr>
                <w:rFonts w:hint="eastAsia" w:ascii="宋体" w:hAnsi="宋体" w:eastAsia="宋体" w:cs="宋体"/>
              </w:rPr>
            </w:pPr>
            <w:r>
              <w:rPr>
                <w:rFonts w:hint="eastAsia" w:ascii="宋体" w:hAnsi="宋体" w:eastAsia="宋体" w:cs="宋体"/>
              </w:rPr>
              <w:t>GB 50231-2009</w:t>
            </w:r>
          </w:p>
        </w:tc>
        <w:tc>
          <w:tcPr>
            <w:tcW w:w="3811" w:type="pct"/>
            <w:tcBorders>
              <w:top w:val="single" w:color="auto" w:sz="4" w:space="0"/>
              <w:left w:val="single" w:color="auto" w:sz="4" w:space="0"/>
              <w:bottom w:val="single" w:color="auto" w:sz="4" w:space="0"/>
              <w:right w:val="single" w:color="auto" w:sz="4" w:space="0"/>
            </w:tcBorders>
          </w:tcPr>
          <w:p w14:paraId="0E7E8037">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机械设备安装工程施工及验收通用规范</w:t>
            </w:r>
          </w:p>
        </w:tc>
      </w:tr>
      <w:tr w14:paraId="3CD28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5BF4B3E">
            <w:pPr>
              <w:spacing w:line="360" w:lineRule="auto"/>
              <w:ind w:firstLine="420" w:firstLineChars="200"/>
              <w:rPr>
                <w:rFonts w:hint="eastAsia" w:ascii="宋体" w:hAnsi="宋体" w:eastAsia="宋体" w:cs="宋体"/>
              </w:rPr>
            </w:pPr>
            <w:r>
              <w:rPr>
                <w:rFonts w:hint="eastAsia" w:ascii="宋体" w:hAnsi="宋体" w:eastAsia="宋体" w:cs="宋体"/>
              </w:rPr>
              <w:t>GB 50254-1996</w:t>
            </w:r>
          </w:p>
        </w:tc>
        <w:tc>
          <w:tcPr>
            <w:tcW w:w="3811" w:type="pct"/>
            <w:tcBorders>
              <w:top w:val="single" w:color="auto" w:sz="4" w:space="0"/>
              <w:left w:val="single" w:color="auto" w:sz="4" w:space="0"/>
              <w:bottom w:val="single" w:color="auto" w:sz="4" w:space="0"/>
              <w:right w:val="single" w:color="auto" w:sz="4" w:space="0"/>
            </w:tcBorders>
          </w:tcPr>
          <w:p w14:paraId="26B65B1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电气装置安装工程低压电器施工及验收规范</w:t>
            </w:r>
          </w:p>
        </w:tc>
      </w:tr>
      <w:tr w14:paraId="16394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7385B9EB">
            <w:pPr>
              <w:spacing w:line="360" w:lineRule="auto"/>
              <w:ind w:firstLine="420" w:firstLineChars="200"/>
              <w:rPr>
                <w:rFonts w:hint="eastAsia" w:ascii="宋体" w:hAnsi="宋体" w:eastAsia="宋体" w:cs="宋体"/>
              </w:rPr>
            </w:pPr>
            <w:r>
              <w:rPr>
                <w:rFonts w:hint="eastAsia" w:ascii="宋体" w:hAnsi="宋体" w:eastAsia="宋体" w:cs="宋体"/>
              </w:rPr>
              <w:t>GB 50270-2010</w:t>
            </w:r>
          </w:p>
        </w:tc>
        <w:tc>
          <w:tcPr>
            <w:tcW w:w="3811" w:type="pct"/>
            <w:tcBorders>
              <w:top w:val="single" w:color="auto" w:sz="4" w:space="0"/>
              <w:left w:val="single" w:color="auto" w:sz="4" w:space="0"/>
              <w:bottom w:val="single" w:color="auto" w:sz="4" w:space="0"/>
              <w:right w:val="single" w:color="auto" w:sz="4" w:space="0"/>
            </w:tcBorders>
          </w:tcPr>
          <w:p w14:paraId="6C3A5E1C">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输送设备安装工程施工及验收规范</w:t>
            </w:r>
          </w:p>
        </w:tc>
      </w:tr>
      <w:tr w14:paraId="1732C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2F793E36">
            <w:pPr>
              <w:spacing w:line="360" w:lineRule="auto"/>
              <w:ind w:firstLine="420" w:firstLineChars="200"/>
              <w:rPr>
                <w:rFonts w:hint="eastAsia" w:ascii="宋体" w:hAnsi="宋体" w:eastAsia="宋体" w:cs="宋体"/>
              </w:rPr>
            </w:pPr>
            <w:r>
              <w:rPr>
                <w:rFonts w:hint="eastAsia" w:ascii="宋体" w:hAnsi="宋体" w:eastAsia="宋体" w:cs="宋体"/>
              </w:rPr>
              <w:t>GB 50339-2003</w:t>
            </w:r>
          </w:p>
        </w:tc>
        <w:tc>
          <w:tcPr>
            <w:tcW w:w="3811" w:type="pct"/>
            <w:tcBorders>
              <w:top w:val="single" w:color="auto" w:sz="4" w:space="0"/>
              <w:left w:val="single" w:color="auto" w:sz="4" w:space="0"/>
              <w:bottom w:val="single" w:color="auto" w:sz="4" w:space="0"/>
              <w:right w:val="single" w:color="auto" w:sz="4" w:space="0"/>
            </w:tcBorders>
          </w:tcPr>
          <w:p w14:paraId="59546EFD">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智能建筑工程质量验收规范</w:t>
            </w:r>
          </w:p>
        </w:tc>
      </w:tr>
      <w:tr w14:paraId="3E7AD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8" w:type="pct"/>
            <w:tcBorders>
              <w:top w:val="single" w:color="auto" w:sz="4" w:space="0"/>
              <w:left w:val="single" w:color="auto" w:sz="4" w:space="0"/>
              <w:bottom w:val="single" w:color="auto" w:sz="4" w:space="0"/>
              <w:right w:val="single" w:color="auto" w:sz="4" w:space="0"/>
            </w:tcBorders>
          </w:tcPr>
          <w:p w14:paraId="118DFB18">
            <w:pPr>
              <w:spacing w:line="360" w:lineRule="auto"/>
              <w:ind w:firstLine="420" w:firstLineChars="200"/>
              <w:rPr>
                <w:rFonts w:hint="eastAsia" w:ascii="宋体" w:hAnsi="宋体" w:eastAsia="宋体" w:cs="宋体"/>
              </w:rPr>
            </w:pPr>
            <w:r>
              <w:rPr>
                <w:rFonts w:hint="eastAsia" w:ascii="宋体" w:hAnsi="宋体" w:eastAsia="宋体" w:cs="宋体"/>
              </w:rPr>
              <w:t>GB 5226.2-2002</w:t>
            </w:r>
          </w:p>
        </w:tc>
        <w:tc>
          <w:tcPr>
            <w:tcW w:w="3811" w:type="pct"/>
            <w:tcBorders>
              <w:top w:val="single" w:color="auto" w:sz="4" w:space="0"/>
              <w:left w:val="single" w:color="auto" w:sz="4" w:space="0"/>
              <w:bottom w:val="single" w:color="auto" w:sz="4" w:space="0"/>
              <w:right w:val="single" w:color="auto" w:sz="4" w:space="0"/>
            </w:tcBorders>
          </w:tcPr>
          <w:p w14:paraId="0EE691FA">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机械安全机械电气设备第32部分起重机械技术条件</w:t>
            </w:r>
          </w:p>
        </w:tc>
      </w:tr>
      <w:tr w14:paraId="144F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09AAEFE6">
            <w:pPr>
              <w:spacing w:line="360" w:lineRule="auto"/>
              <w:ind w:firstLine="420" w:firstLineChars="200"/>
              <w:rPr>
                <w:rFonts w:hint="eastAsia" w:ascii="宋体" w:hAnsi="宋体" w:eastAsia="宋体" w:cs="宋体"/>
              </w:rPr>
            </w:pPr>
            <w:r>
              <w:rPr>
                <w:rFonts w:hint="eastAsia" w:ascii="宋体" w:hAnsi="宋体" w:eastAsia="宋体" w:cs="宋体"/>
              </w:rPr>
              <w:t>GB 6067-85</w:t>
            </w:r>
          </w:p>
        </w:tc>
        <w:tc>
          <w:tcPr>
            <w:tcW w:w="3811" w:type="pct"/>
            <w:tcBorders>
              <w:top w:val="single" w:color="auto" w:sz="4" w:space="0"/>
              <w:left w:val="single" w:color="auto" w:sz="4" w:space="0"/>
              <w:bottom w:val="single" w:color="auto" w:sz="4" w:space="0"/>
              <w:right w:val="single" w:color="auto" w:sz="4" w:space="0"/>
            </w:tcBorders>
          </w:tcPr>
          <w:p w14:paraId="7DC1F137">
            <w:pPr>
              <w:spacing w:line="360" w:lineRule="auto"/>
              <w:ind w:firstLine="420" w:firstLineChars="200"/>
              <w:rPr>
                <w:rFonts w:hint="eastAsia" w:ascii="宋体" w:hAnsi="宋体" w:eastAsia="宋体" w:cs="宋体"/>
              </w:rPr>
            </w:pPr>
            <w:r>
              <w:rPr>
                <w:rFonts w:hint="eastAsia" w:ascii="宋体" w:hAnsi="宋体" w:eastAsia="宋体" w:cs="宋体"/>
              </w:rPr>
              <w:t>起重机械安全规程</w:t>
            </w:r>
          </w:p>
        </w:tc>
      </w:tr>
      <w:tr w14:paraId="5EC07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2A02DED">
            <w:pPr>
              <w:spacing w:line="360" w:lineRule="auto"/>
              <w:ind w:firstLine="420" w:firstLineChars="200"/>
              <w:rPr>
                <w:rFonts w:hint="eastAsia" w:ascii="宋体" w:hAnsi="宋体" w:eastAsia="宋体" w:cs="宋体"/>
              </w:rPr>
            </w:pPr>
            <w:r>
              <w:rPr>
                <w:rFonts w:hint="eastAsia" w:ascii="宋体" w:hAnsi="宋体" w:eastAsia="宋体" w:cs="宋体"/>
              </w:rPr>
              <w:t>GB 6807-2001</w:t>
            </w:r>
          </w:p>
        </w:tc>
        <w:tc>
          <w:tcPr>
            <w:tcW w:w="3811" w:type="pct"/>
            <w:tcBorders>
              <w:top w:val="single" w:color="auto" w:sz="4" w:space="0"/>
              <w:left w:val="single" w:color="auto" w:sz="4" w:space="0"/>
              <w:bottom w:val="single" w:color="auto" w:sz="4" w:space="0"/>
              <w:right w:val="single" w:color="auto" w:sz="4" w:space="0"/>
            </w:tcBorders>
          </w:tcPr>
          <w:p w14:paraId="660EBEF4">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钢铁工件涂装前磷化处理技术条件</w:t>
            </w:r>
          </w:p>
        </w:tc>
      </w:tr>
      <w:tr w14:paraId="792C3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18EFA19D">
            <w:pPr>
              <w:spacing w:line="360" w:lineRule="auto"/>
              <w:ind w:firstLine="420" w:firstLineChars="200"/>
              <w:rPr>
                <w:rFonts w:hint="eastAsia" w:ascii="宋体" w:hAnsi="宋体" w:eastAsia="宋体" w:cs="宋体"/>
              </w:rPr>
            </w:pPr>
            <w:r>
              <w:rPr>
                <w:rFonts w:hint="eastAsia" w:ascii="宋体" w:hAnsi="宋体" w:eastAsia="宋体" w:cs="宋体"/>
              </w:rPr>
              <w:t>GB 8567-2006</w:t>
            </w:r>
          </w:p>
        </w:tc>
        <w:tc>
          <w:tcPr>
            <w:tcW w:w="3811" w:type="pct"/>
            <w:tcBorders>
              <w:top w:val="single" w:color="auto" w:sz="4" w:space="0"/>
              <w:left w:val="single" w:color="auto" w:sz="4" w:space="0"/>
              <w:bottom w:val="single" w:color="auto" w:sz="4" w:space="0"/>
              <w:right w:val="single" w:color="auto" w:sz="4" w:space="0"/>
            </w:tcBorders>
          </w:tcPr>
          <w:p w14:paraId="3C17D3FC">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计算机软件文档编制规范</w:t>
            </w:r>
          </w:p>
        </w:tc>
      </w:tr>
      <w:tr w14:paraId="0B29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3131882F">
            <w:pPr>
              <w:spacing w:line="360" w:lineRule="auto"/>
              <w:jc w:val="center"/>
              <w:rPr>
                <w:rFonts w:hint="eastAsia" w:ascii="宋体" w:hAnsi="宋体" w:eastAsia="宋体" w:cs="宋体"/>
              </w:rPr>
            </w:pPr>
            <w:r>
              <w:rPr>
                <w:rFonts w:hint="eastAsia" w:ascii="宋体" w:hAnsi="宋体" w:eastAsia="宋体" w:cs="宋体"/>
              </w:rPr>
              <w:t>GB/T 12504-1990</w:t>
            </w:r>
          </w:p>
        </w:tc>
        <w:tc>
          <w:tcPr>
            <w:tcW w:w="3811" w:type="pct"/>
            <w:tcBorders>
              <w:top w:val="single" w:color="auto" w:sz="4" w:space="0"/>
              <w:left w:val="single" w:color="auto" w:sz="4" w:space="0"/>
              <w:bottom w:val="single" w:color="auto" w:sz="4" w:space="0"/>
              <w:right w:val="single" w:color="auto" w:sz="4" w:space="0"/>
            </w:tcBorders>
          </w:tcPr>
          <w:p w14:paraId="54423649">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计算机软件质量保证计划规范</w:t>
            </w:r>
          </w:p>
        </w:tc>
      </w:tr>
      <w:tr w14:paraId="47E9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4E30C79F">
            <w:pPr>
              <w:spacing w:line="360" w:lineRule="auto"/>
              <w:jc w:val="center"/>
              <w:rPr>
                <w:rFonts w:hint="eastAsia" w:ascii="宋体" w:hAnsi="宋体" w:eastAsia="宋体" w:cs="宋体"/>
              </w:rPr>
            </w:pPr>
            <w:r>
              <w:rPr>
                <w:rFonts w:hint="eastAsia" w:ascii="宋体" w:hAnsi="宋体" w:eastAsia="宋体" w:cs="宋体"/>
              </w:rPr>
              <w:t>GB/T 12505-1990</w:t>
            </w:r>
          </w:p>
        </w:tc>
        <w:tc>
          <w:tcPr>
            <w:tcW w:w="3811" w:type="pct"/>
            <w:tcBorders>
              <w:top w:val="single" w:color="auto" w:sz="4" w:space="0"/>
              <w:left w:val="single" w:color="auto" w:sz="4" w:space="0"/>
              <w:bottom w:val="single" w:color="auto" w:sz="4" w:space="0"/>
              <w:right w:val="single" w:color="auto" w:sz="4" w:space="0"/>
            </w:tcBorders>
          </w:tcPr>
          <w:p w14:paraId="4066EEE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计算机软件配置管理计划规范</w:t>
            </w:r>
          </w:p>
        </w:tc>
      </w:tr>
      <w:tr w14:paraId="1B9EB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7A213E4">
            <w:pPr>
              <w:spacing w:line="360" w:lineRule="auto"/>
              <w:jc w:val="center"/>
              <w:rPr>
                <w:rFonts w:hint="eastAsia" w:ascii="宋体" w:hAnsi="宋体" w:eastAsia="宋体" w:cs="宋体"/>
              </w:rPr>
            </w:pPr>
            <w:r>
              <w:rPr>
                <w:rFonts w:hint="eastAsia" w:ascii="宋体" w:hAnsi="宋体" w:eastAsia="宋体" w:cs="宋体"/>
              </w:rPr>
              <w:t>GB/T 13306-2011</w:t>
            </w:r>
          </w:p>
        </w:tc>
        <w:tc>
          <w:tcPr>
            <w:tcW w:w="3811" w:type="pct"/>
            <w:tcBorders>
              <w:top w:val="single" w:color="auto" w:sz="4" w:space="0"/>
              <w:left w:val="single" w:color="auto" w:sz="4" w:space="0"/>
              <w:bottom w:val="single" w:color="auto" w:sz="4" w:space="0"/>
              <w:right w:val="single" w:color="auto" w:sz="4" w:space="0"/>
            </w:tcBorders>
          </w:tcPr>
          <w:p w14:paraId="7FE1FC73">
            <w:pPr>
              <w:spacing w:line="360" w:lineRule="auto"/>
              <w:ind w:firstLine="420" w:firstLineChars="200"/>
              <w:rPr>
                <w:rFonts w:hint="eastAsia" w:ascii="宋体" w:hAnsi="宋体" w:eastAsia="宋体" w:cs="宋体"/>
              </w:rPr>
            </w:pPr>
            <w:r>
              <w:rPr>
                <w:rFonts w:hint="eastAsia" w:ascii="宋体" w:hAnsi="宋体" w:eastAsia="宋体" w:cs="宋体"/>
              </w:rPr>
              <w:t>标牌</w:t>
            </w:r>
          </w:p>
        </w:tc>
      </w:tr>
      <w:tr w14:paraId="69C0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32657CCC">
            <w:pPr>
              <w:spacing w:line="360" w:lineRule="auto"/>
              <w:jc w:val="center"/>
              <w:rPr>
                <w:rFonts w:hint="eastAsia" w:ascii="宋体" w:hAnsi="宋体" w:eastAsia="宋体" w:cs="宋体"/>
              </w:rPr>
            </w:pPr>
            <w:r>
              <w:rPr>
                <w:rFonts w:hint="eastAsia" w:ascii="宋体" w:hAnsi="宋体" w:eastAsia="宋体" w:cs="宋体"/>
              </w:rPr>
              <w:t>GB/T 13423-1992</w:t>
            </w:r>
          </w:p>
        </w:tc>
        <w:tc>
          <w:tcPr>
            <w:tcW w:w="3811" w:type="pct"/>
            <w:tcBorders>
              <w:top w:val="single" w:color="auto" w:sz="4" w:space="0"/>
              <w:left w:val="single" w:color="auto" w:sz="4" w:space="0"/>
              <w:bottom w:val="single" w:color="auto" w:sz="4" w:space="0"/>
              <w:right w:val="single" w:color="auto" w:sz="4" w:space="0"/>
            </w:tcBorders>
          </w:tcPr>
          <w:p w14:paraId="7A715B19">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工业控制用软件评定准则</w:t>
            </w:r>
          </w:p>
        </w:tc>
      </w:tr>
      <w:tr w14:paraId="747C8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23E1E1D7">
            <w:pPr>
              <w:spacing w:line="360" w:lineRule="auto"/>
              <w:jc w:val="center"/>
              <w:rPr>
                <w:rFonts w:hint="eastAsia" w:ascii="宋体" w:hAnsi="宋体" w:eastAsia="宋体" w:cs="宋体"/>
              </w:rPr>
            </w:pPr>
            <w:r>
              <w:rPr>
                <w:rFonts w:hint="eastAsia" w:ascii="宋体" w:hAnsi="宋体" w:eastAsia="宋体" w:cs="宋体"/>
              </w:rPr>
              <w:t>GB/T 14079-1993</w:t>
            </w:r>
          </w:p>
        </w:tc>
        <w:tc>
          <w:tcPr>
            <w:tcW w:w="3811" w:type="pct"/>
            <w:tcBorders>
              <w:top w:val="single" w:color="auto" w:sz="4" w:space="0"/>
              <w:left w:val="single" w:color="auto" w:sz="4" w:space="0"/>
              <w:bottom w:val="single" w:color="auto" w:sz="4" w:space="0"/>
              <w:right w:val="single" w:color="auto" w:sz="4" w:space="0"/>
            </w:tcBorders>
          </w:tcPr>
          <w:p w14:paraId="2BA1AD27">
            <w:pPr>
              <w:spacing w:line="360" w:lineRule="auto"/>
              <w:ind w:firstLine="420" w:firstLineChars="200"/>
              <w:rPr>
                <w:rFonts w:hint="eastAsia" w:ascii="宋体" w:hAnsi="宋体" w:eastAsia="宋体" w:cs="宋体"/>
              </w:rPr>
            </w:pPr>
            <w:r>
              <w:rPr>
                <w:rFonts w:hint="eastAsia" w:ascii="宋体" w:hAnsi="宋体" w:eastAsia="宋体" w:cs="宋体"/>
              </w:rPr>
              <w:t>软件维护指南</w:t>
            </w:r>
          </w:p>
        </w:tc>
      </w:tr>
      <w:tr w14:paraId="339BF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682A2631">
            <w:pPr>
              <w:spacing w:line="360" w:lineRule="auto"/>
              <w:jc w:val="center"/>
              <w:rPr>
                <w:rFonts w:hint="eastAsia" w:ascii="宋体" w:hAnsi="宋体" w:eastAsia="宋体" w:cs="宋体"/>
              </w:rPr>
            </w:pPr>
            <w:r>
              <w:rPr>
                <w:rFonts w:hint="eastAsia" w:ascii="宋体" w:hAnsi="宋体" w:eastAsia="宋体" w:cs="宋体"/>
              </w:rPr>
              <w:t>GB/T 14085-1993</w:t>
            </w:r>
          </w:p>
        </w:tc>
        <w:tc>
          <w:tcPr>
            <w:tcW w:w="3811" w:type="pct"/>
            <w:tcBorders>
              <w:top w:val="single" w:color="auto" w:sz="4" w:space="0"/>
              <w:left w:val="single" w:color="auto" w:sz="4" w:space="0"/>
              <w:bottom w:val="single" w:color="auto" w:sz="4" w:space="0"/>
              <w:right w:val="single" w:color="auto" w:sz="4" w:space="0"/>
            </w:tcBorders>
          </w:tcPr>
          <w:p w14:paraId="34080B08">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信息处理系统计算机系统配置图符号及约定</w:t>
            </w:r>
          </w:p>
        </w:tc>
      </w:tr>
      <w:tr w14:paraId="68B6D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01033806">
            <w:pPr>
              <w:spacing w:line="360" w:lineRule="auto"/>
              <w:jc w:val="center"/>
              <w:rPr>
                <w:rFonts w:hint="eastAsia" w:ascii="宋体" w:hAnsi="宋体" w:eastAsia="宋体" w:cs="宋体"/>
              </w:rPr>
            </w:pPr>
            <w:r>
              <w:rPr>
                <w:rFonts w:hint="eastAsia" w:ascii="宋体" w:hAnsi="宋体" w:eastAsia="宋体" w:cs="宋体"/>
              </w:rPr>
              <w:t>GB/T 14394-3008</w:t>
            </w:r>
          </w:p>
        </w:tc>
        <w:tc>
          <w:tcPr>
            <w:tcW w:w="3811" w:type="pct"/>
            <w:tcBorders>
              <w:top w:val="single" w:color="auto" w:sz="4" w:space="0"/>
              <w:left w:val="single" w:color="auto" w:sz="4" w:space="0"/>
              <w:bottom w:val="single" w:color="auto" w:sz="4" w:space="0"/>
              <w:right w:val="single" w:color="auto" w:sz="4" w:space="0"/>
            </w:tcBorders>
          </w:tcPr>
          <w:p w14:paraId="7388F89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计算机软件可靠性和可维护性管理</w:t>
            </w:r>
          </w:p>
        </w:tc>
      </w:tr>
      <w:tr w14:paraId="026C8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4AAFD53A">
            <w:pPr>
              <w:spacing w:line="360" w:lineRule="auto"/>
              <w:ind w:firstLine="420" w:firstLineChars="200"/>
              <w:jc w:val="center"/>
              <w:rPr>
                <w:rFonts w:hint="eastAsia" w:ascii="宋体" w:hAnsi="宋体" w:eastAsia="宋体" w:cs="宋体"/>
              </w:rPr>
            </w:pPr>
            <w:r>
              <w:rPr>
                <w:rFonts w:hint="eastAsia" w:ascii="宋体" w:hAnsi="宋体" w:eastAsia="宋体" w:cs="宋体"/>
              </w:rPr>
              <w:t>GB/T 9385-2008</w:t>
            </w:r>
          </w:p>
        </w:tc>
        <w:tc>
          <w:tcPr>
            <w:tcW w:w="3811" w:type="pct"/>
            <w:tcBorders>
              <w:top w:val="single" w:color="auto" w:sz="4" w:space="0"/>
              <w:left w:val="single" w:color="auto" w:sz="4" w:space="0"/>
              <w:bottom w:val="single" w:color="auto" w:sz="4" w:space="0"/>
              <w:right w:val="single" w:color="auto" w:sz="4" w:space="0"/>
            </w:tcBorders>
          </w:tcPr>
          <w:p w14:paraId="5693E2B1">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计算机软件需求规格说明规范</w:t>
            </w:r>
          </w:p>
        </w:tc>
      </w:tr>
      <w:tr w14:paraId="6D5B4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1925EB44">
            <w:pPr>
              <w:spacing w:line="360" w:lineRule="auto"/>
              <w:ind w:firstLine="420" w:firstLineChars="200"/>
              <w:jc w:val="center"/>
              <w:rPr>
                <w:rFonts w:hint="eastAsia" w:ascii="宋体" w:hAnsi="宋体" w:eastAsia="宋体" w:cs="宋体"/>
              </w:rPr>
            </w:pPr>
            <w:r>
              <w:rPr>
                <w:rFonts w:hint="eastAsia" w:ascii="宋体" w:hAnsi="宋体" w:eastAsia="宋体" w:cs="宋体"/>
              </w:rPr>
              <w:t>GBJ 52-1983</w:t>
            </w:r>
          </w:p>
        </w:tc>
        <w:tc>
          <w:tcPr>
            <w:tcW w:w="3811" w:type="pct"/>
            <w:tcBorders>
              <w:top w:val="single" w:color="auto" w:sz="4" w:space="0"/>
              <w:left w:val="single" w:color="auto" w:sz="4" w:space="0"/>
              <w:bottom w:val="single" w:color="auto" w:sz="4" w:space="0"/>
              <w:right w:val="single" w:color="auto" w:sz="4" w:space="0"/>
            </w:tcBorders>
          </w:tcPr>
          <w:p w14:paraId="5EBF5636">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工业与民用供电系统设计规范</w:t>
            </w:r>
          </w:p>
        </w:tc>
      </w:tr>
      <w:tr w14:paraId="4361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613ACA84">
            <w:pPr>
              <w:spacing w:line="360" w:lineRule="auto"/>
              <w:ind w:firstLine="420" w:firstLineChars="200"/>
              <w:jc w:val="center"/>
              <w:rPr>
                <w:rFonts w:hint="eastAsia" w:ascii="宋体" w:hAnsi="宋体" w:eastAsia="宋体" w:cs="宋体"/>
              </w:rPr>
            </w:pPr>
            <w:r>
              <w:rPr>
                <w:rFonts w:hint="eastAsia" w:ascii="宋体" w:hAnsi="宋体" w:eastAsia="宋体" w:cs="宋体"/>
              </w:rPr>
              <w:t>GBJ 54-1983</w:t>
            </w:r>
          </w:p>
        </w:tc>
        <w:tc>
          <w:tcPr>
            <w:tcW w:w="3811" w:type="pct"/>
            <w:tcBorders>
              <w:top w:val="single" w:color="auto" w:sz="4" w:space="0"/>
              <w:left w:val="single" w:color="auto" w:sz="4" w:space="0"/>
              <w:bottom w:val="single" w:color="auto" w:sz="4" w:space="0"/>
              <w:right w:val="single" w:color="auto" w:sz="4" w:space="0"/>
            </w:tcBorders>
          </w:tcPr>
          <w:p w14:paraId="27780B96">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低压配电装置及线路设计规范</w:t>
            </w:r>
          </w:p>
        </w:tc>
      </w:tr>
      <w:tr w14:paraId="3B0D9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05EC6AE5">
            <w:pPr>
              <w:spacing w:line="360" w:lineRule="auto"/>
              <w:ind w:firstLine="420" w:firstLineChars="200"/>
              <w:jc w:val="center"/>
              <w:rPr>
                <w:rFonts w:hint="eastAsia" w:ascii="宋体" w:hAnsi="宋体" w:eastAsia="宋体" w:cs="宋体"/>
              </w:rPr>
            </w:pPr>
            <w:r>
              <w:rPr>
                <w:rFonts w:hint="eastAsia" w:ascii="宋体" w:hAnsi="宋体" w:eastAsia="宋体" w:cs="宋体"/>
              </w:rPr>
              <w:t>GBJ 65-83</w:t>
            </w:r>
          </w:p>
        </w:tc>
        <w:tc>
          <w:tcPr>
            <w:tcW w:w="3811" w:type="pct"/>
            <w:tcBorders>
              <w:top w:val="single" w:color="auto" w:sz="4" w:space="0"/>
              <w:left w:val="single" w:color="auto" w:sz="4" w:space="0"/>
              <w:bottom w:val="single" w:color="auto" w:sz="4" w:space="0"/>
              <w:right w:val="single" w:color="auto" w:sz="4" w:space="0"/>
            </w:tcBorders>
          </w:tcPr>
          <w:p w14:paraId="59CD7BA7">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工业与民用电力装置的接地设计规范</w:t>
            </w:r>
          </w:p>
        </w:tc>
      </w:tr>
      <w:tr w14:paraId="06D26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12C5BA36">
            <w:pPr>
              <w:spacing w:line="360" w:lineRule="auto"/>
              <w:ind w:firstLine="420" w:firstLineChars="200"/>
              <w:jc w:val="center"/>
              <w:rPr>
                <w:rFonts w:hint="eastAsia" w:ascii="宋体" w:hAnsi="宋体" w:eastAsia="宋体" w:cs="宋体"/>
              </w:rPr>
            </w:pPr>
            <w:r>
              <w:rPr>
                <w:rFonts w:hint="eastAsia" w:ascii="宋体" w:hAnsi="宋体" w:eastAsia="宋体" w:cs="宋体"/>
              </w:rPr>
              <w:t>GBJ 87-85</w:t>
            </w:r>
          </w:p>
        </w:tc>
        <w:tc>
          <w:tcPr>
            <w:tcW w:w="3811" w:type="pct"/>
            <w:tcBorders>
              <w:top w:val="single" w:color="auto" w:sz="4" w:space="0"/>
              <w:left w:val="single" w:color="auto" w:sz="4" w:space="0"/>
              <w:bottom w:val="single" w:color="auto" w:sz="4" w:space="0"/>
              <w:right w:val="single" w:color="auto" w:sz="4" w:space="0"/>
            </w:tcBorders>
          </w:tcPr>
          <w:p w14:paraId="46856722">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工业企业噪声控制设计规范</w:t>
            </w:r>
          </w:p>
        </w:tc>
      </w:tr>
      <w:tr w14:paraId="42DAB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008CA11">
            <w:pPr>
              <w:spacing w:line="360" w:lineRule="auto"/>
              <w:ind w:firstLine="420" w:firstLineChars="200"/>
              <w:jc w:val="both"/>
              <w:rPr>
                <w:rFonts w:hint="eastAsia" w:ascii="宋体" w:hAnsi="宋体" w:eastAsia="宋体" w:cs="宋体"/>
              </w:rPr>
            </w:pPr>
            <w:r>
              <w:rPr>
                <w:rFonts w:hint="eastAsia" w:ascii="宋体" w:hAnsi="宋体" w:eastAsia="宋体" w:cs="宋体"/>
              </w:rPr>
              <w:t>JB/T11270-2011</w:t>
            </w:r>
          </w:p>
        </w:tc>
        <w:tc>
          <w:tcPr>
            <w:tcW w:w="3811" w:type="pct"/>
            <w:tcBorders>
              <w:top w:val="single" w:color="auto" w:sz="4" w:space="0"/>
              <w:left w:val="single" w:color="auto" w:sz="4" w:space="0"/>
              <w:bottom w:val="single" w:color="auto" w:sz="4" w:space="0"/>
              <w:right w:val="single" w:color="auto" w:sz="4" w:space="0"/>
            </w:tcBorders>
          </w:tcPr>
          <w:p w14:paraId="7C3CC83C">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立体仓库组合式钢结构货架技术条件</w:t>
            </w:r>
          </w:p>
        </w:tc>
      </w:tr>
      <w:tr w14:paraId="67162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B07C9C3">
            <w:pPr>
              <w:spacing w:line="360" w:lineRule="auto"/>
              <w:ind w:firstLine="420" w:firstLineChars="200"/>
              <w:jc w:val="center"/>
              <w:rPr>
                <w:rFonts w:hint="eastAsia" w:ascii="宋体" w:hAnsi="宋体" w:eastAsia="宋体" w:cs="宋体"/>
              </w:rPr>
            </w:pPr>
            <w:r>
              <w:rPr>
                <w:rFonts w:hint="eastAsia" w:ascii="宋体" w:hAnsi="宋体" w:eastAsia="宋体" w:cs="宋体"/>
              </w:rPr>
              <w:t>JB/T 5323-91</w:t>
            </w:r>
          </w:p>
        </w:tc>
        <w:tc>
          <w:tcPr>
            <w:tcW w:w="3811" w:type="pct"/>
            <w:tcBorders>
              <w:top w:val="single" w:color="auto" w:sz="4" w:space="0"/>
              <w:left w:val="single" w:color="auto" w:sz="4" w:space="0"/>
              <w:bottom w:val="single" w:color="auto" w:sz="4" w:space="0"/>
              <w:right w:val="single" w:color="auto" w:sz="4" w:space="0"/>
            </w:tcBorders>
          </w:tcPr>
          <w:p w14:paraId="54D41428">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立体仓库焊接式钢结构货架技术条件</w:t>
            </w:r>
          </w:p>
        </w:tc>
      </w:tr>
      <w:tr w14:paraId="1C3B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57BB29A1">
            <w:pPr>
              <w:spacing w:line="360" w:lineRule="auto"/>
              <w:ind w:firstLine="420" w:firstLineChars="200"/>
              <w:jc w:val="center"/>
              <w:rPr>
                <w:rFonts w:hint="eastAsia" w:ascii="宋体" w:hAnsi="宋体" w:eastAsia="宋体" w:cs="宋体"/>
              </w:rPr>
            </w:pPr>
            <w:r>
              <w:rPr>
                <w:rFonts w:hint="eastAsia" w:ascii="宋体" w:hAnsi="宋体" w:eastAsia="宋体" w:cs="宋体"/>
              </w:rPr>
              <w:t>JB/T 9018-2011</w:t>
            </w:r>
          </w:p>
        </w:tc>
        <w:tc>
          <w:tcPr>
            <w:tcW w:w="3811" w:type="pct"/>
            <w:tcBorders>
              <w:top w:val="single" w:color="auto" w:sz="4" w:space="0"/>
              <w:left w:val="single" w:color="auto" w:sz="4" w:space="0"/>
              <w:bottom w:val="single" w:color="auto" w:sz="4" w:space="0"/>
              <w:right w:val="single" w:color="auto" w:sz="4" w:space="0"/>
            </w:tcBorders>
          </w:tcPr>
          <w:p w14:paraId="4238E878">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自动化立体仓库设计规范</w:t>
            </w:r>
          </w:p>
        </w:tc>
      </w:tr>
      <w:tr w14:paraId="2FC4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2297607D">
            <w:pPr>
              <w:spacing w:line="360" w:lineRule="auto"/>
              <w:ind w:firstLine="420" w:firstLineChars="200"/>
              <w:jc w:val="center"/>
              <w:rPr>
                <w:rFonts w:hint="eastAsia" w:ascii="宋体" w:hAnsi="宋体" w:eastAsia="宋体" w:cs="宋体"/>
              </w:rPr>
            </w:pPr>
            <w:r>
              <w:rPr>
                <w:rFonts w:hint="eastAsia" w:ascii="宋体" w:hAnsi="宋体" w:eastAsia="宋体" w:cs="宋体"/>
              </w:rPr>
              <w:t>ZBJ 83015-89</w:t>
            </w:r>
          </w:p>
        </w:tc>
        <w:tc>
          <w:tcPr>
            <w:tcW w:w="3811" w:type="pct"/>
            <w:tcBorders>
              <w:top w:val="single" w:color="auto" w:sz="4" w:space="0"/>
              <w:left w:val="single" w:color="auto" w:sz="4" w:space="0"/>
              <w:bottom w:val="single" w:color="auto" w:sz="4" w:space="0"/>
              <w:right w:val="single" w:color="auto" w:sz="4" w:space="0"/>
            </w:tcBorders>
          </w:tcPr>
          <w:p w14:paraId="245D70FB">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高层货架仓库设计规范</w:t>
            </w:r>
          </w:p>
        </w:tc>
      </w:tr>
      <w:tr w14:paraId="38FDD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0FD8485C">
            <w:pPr>
              <w:spacing w:line="360" w:lineRule="auto"/>
              <w:ind w:firstLine="420" w:firstLineChars="200"/>
              <w:jc w:val="center"/>
              <w:rPr>
                <w:rFonts w:hint="eastAsia" w:ascii="宋体" w:hAnsi="宋体" w:eastAsia="宋体" w:cs="宋体"/>
              </w:rPr>
            </w:pPr>
            <w:r>
              <w:rPr>
                <w:rFonts w:hint="eastAsia" w:ascii="宋体" w:hAnsi="宋体" w:eastAsia="宋体" w:cs="宋体"/>
              </w:rPr>
              <w:t>CECS 23-1990</w:t>
            </w:r>
          </w:p>
        </w:tc>
        <w:tc>
          <w:tcPr>
            <w:tcW w:w="3811" w:type="pct"/>
            <w:tcBorders>
              <w:top w:val="single" w:color="auto" w:sz="4" w:space="0"/>
              <w:left w:val="single" w:color="auto" w:sz="4" w:space="0"/>
              <w:bottom w:val="single" w:color="auto" w:sz="4" w:space="0"/>
              <w:right w:val="single" w:color="auto" w:sz="4" w:space="0"/>
            </w:tcBorders>
          </w:tcPr>
          <w:p w14:paraId="775CAA4A">
            <w:pPr>
              <w:spacing w:line="360" w:lineRule="auto"/>
              <w:ind w:firstLine="420" w:firstLineChars="200"/>
              <w:rPr>
                <w:rFonts w:hint="eastAsia" w:ascii="宋体" w:hAnsi="宋体" w:eastAsia="宋体" w:cs="宋体"/>
              </w:rPr>
            </w:pPr>
            <w:r>
              <w:rPr>
                <w:rFonts w:hint="eastAsia" w:ascii="宋体" w:hAnsi="宋体" w:eastAsia="宋体" w:cs="宋体"/>
              </w:rPr>
              <w:t>钢货架结构设计规范</w:t>
            </w:r>
          </w:p>
        </w:tc>
      </w:tr>
      <w:tr w14:paraId="32D8D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7CB79BBC">
            <w:pPr>
              <w:spacing w:line="360" w:lineRule="auto"/>
              <w:ind w:firstLine="420" w:firstLineChars="200"/>
              <w:jc w:val="center"/>
              <w:rPr>
                <w:rFonts w:hint="eastAsia" w:ascii="宋体" w:hAnsi="宋体" w:eastAsia="宋体" w:cs="宋体"/>
              </w:rPr>
            </w:pPr>
            <w:r>
              <w:rPr>
                <w:rFonts w:hint="eastAsia" w:ascii="宋体" w:hAnsi="宋体" w:eastAsia="宋体" w:cs="宋体"/>
              </w:rPr>
              <w:t>EN 292 1-3</w:t>
            </w:r>
          </w:p>
        </w:tc>
        <w:tc>
          <w:tcPr>
            <w:tcW w:w="3811" w:type="pct"/>
            <w:tcBorders>
              <w:top w:val="single" w:color="auto" w:sz="4" w:space="0"/>
              <w:left w:val="single" w:color="auto" w:sz="4" w:space="0"/>
              <w:bottom w:val="single" w:color="auto" w:sz="4" w:space="0"/>
              <w:right w:val="single" w:color="auto" w:sz="4" w:space="0"/>
            </w:tcBorders>
          </w:tcPr>
          <w:p w14:paraId="2ADE726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欧洲国家通用标准－设计总原则</w:t>
            </w:r>
          </w:p>
        </w:tc>
      </w:tr>
      <w:tr w14:paraId="383A7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44EEB758">
            <w:pPr>
              <w:spacing w:line="360" w:lineRule="auto"/>
              <w:ind w:firstLine="420" w:firstLineChars="200"/>
              <w:jc w:val="center"/>
              <w:rPr>
                <w:rFonts w:hint="eastAsia" w:ascii="宋体" w:hAnsi="宋体" w:eastAsia="宋体" w:cs="宋体"/>
              </w:rPr>
            </w:pPr>
            <w:r>
              <w:rPr>
                <w:rFonts w:hint="eastAsia" w:ascii="宋体" w:hAnsi="宋体" w:eastAsia="宋体" w:cs="宋体"/>
              </w:rPr>
              <w:t>FEM 9.831</w:t>
            </w:r>
          </w:p>
        </w:tc>
        <w:tc>
          <w:tcPr>
            <w:tcW w:w="3811" w:type="pct"/>
            <w:tcBorders>
              <w:top w:val="single" w:color="auto" w:sz="4" w:space="0"/>
              <w:left w:val="single" w:color="auto" w:sz="4" w:space="0"/>
              <w:bottom w:val="single" w:color="auto" w:sz="4" w:space="0"/>
              <w:right w:val="single" w:color="auto" w:sz="4" w:space="0"/>
            </w:tcBorders>
          </w:tcPr>
          <w:p w14:paraId="14FC905A">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自动化仓库机器的性能数据循环时间</w:t>
            </w:r>
          </w:p>
        </w:tc>
      </w:tr>
      <w:tr w14:paraId="420D9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35F25990">
            <w:pPr>
              <w:spacing w:line="360" w:lineRule="auto"/>
              <w:ind w:firstLine="420" w:firstLineChars="200"/>
              <w:jc w:val="center"/>
              <w:rPr>
                <w:rFonts w:hint="eastAsia" w:ascii="宋体" w:hAnsi="宋体" w:eastAsia="宋体" w:cs="宋体"/>
              </w:rPr>
            </w:pPr>
            <w:r>
              <w:rPr>
                <w:rFonts w:hint="eastAsia" w:ascii="宋体" w:hAnsi="宋体" w:eastAsia="宋体" w:cs="宋体"/>
              </w:rPr>
              <w:t>0137HB/Z178-90</w:t>
            </w:r>
          </w:p>
        </w:tc>
        <w:tc>
          <w:tcPr>
            <w:tcW w:w="3811" w:type="pct"/>
            <w:tcBorders>
              <w:top w:val="single" w:color="auto" w:sz="4" w:space="0"/>
              <w:left w:val="single" w:color="auto" w:sz="4" w:space="0"/>
              <w:bottom w:val="single" w:color="auto" w:sz="4" w:space="0"/>
              <w:right w:val="single" w:color="auto" w:sz="4" w:space="0"/>
            </w:tcBorders>
          </w:tcPr>
          <w:p w14:paraId="2D62CAD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计算机软件验收基本要求</w:t>
            </w:r>
          </w:p>
        </w:tc>
      </w:tr>
      <w:tr w14:paraId="3590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pct"/>
            <w:tcBorders>
              <w:top w:val="single" w:color="auto" w:sz="4" w:space="0"/>
              <w:left w:val="single" w:color="auto" w:sz="4" w:space="0"/>
              <w:bottom w:val="single" w:color="auto" w:sz="4" w:space="0"/>
              <w:right w:val="single" w:color="auto" w:sz="4" w:space="0"/>
            </w:tcBorders>
          </w:tcPr>
          <w:p w14:paraId="1DE12C3C">
            <w:pPr>
              <w:spacing w:line="360" w:lineRule="auto"/>
              <w:ind w:firstLine="420" w:firstLineChars="200"/>
              <w:jc w:val="center"/>
              <w:rPr>
                <w:rFonts w:hint="eastAsia" w:ascii="宋体" w:hAnsi="宋体" w:eastAsia="宋体" w:cs="宋体"/>
              </w:rPr>
            </w:pPr>
            <w:r>
              <w:rPr>
                <w:rFonts w:hint="eastAsia" w:ascii="宋体" w:hAnsi="宋体" w:eastAsia="宋体" w:cs="宋体"/>
              </w:rPr>
              <w:t>0137HB/Z180-90</w:t>
            </w:r>
          </w:p>
        </w:tc>
        <w:tc>
          <w:tcPr>
            <w:tcW w:w="3811" w:type="pct"/>
            <w:tcBorders>
              <w:top w:val="single" w:color="auto" w:sz="4" w:space="0"/>
              <w:left w:val="single" w:color="auto" w:sz="4" w:space="0"/>
              <w:bottom w:val="single" w:color="auto" w:sz="4" w:space="0"/>
              <w:right w:val="single" w:color="auto" w:sz="4" w:space="0"/>
            </w:tcBorders>
          </w:tcPr>
          <w:p w14:paraId="626AC83F">
            <w:pPr>
              <w:spacing w:line="360" w:lineRule="auto"/>
              <w:ind w:firstLine="420" w:firstLineChars="200"/>
              <w:rPr>
                <w:rFonts w:hint="eastAsia" w:ascii="宋体" w:hAnsi="宋体" w:eastAsia="宋体" w:cs="宋体"/>
                <w:lang w:eastAsia="zh-CN"/>
              </w:rPr>
            </w:pPr>
            <w:r>
              <w:rPr>
                <w:rFonts w:hint="eastAsia" w:ascii="宋体" w:hAnsi="宋体" w:eastAsia="宋体" w:cs="宋体"/>
                <w:lang w:eastAsia="zh-CN"/>
              </w:rPr>
              <w:t>计算机软件质量特性评价方法</w:t>
            </w:r>
          </w:p>
        </w:tc>
      </w:tr>
    </w:tbl>
    <w:p w14:paraId="15C22F7A">
      <w:pPr>
        <w:spacing w:line="400" w:lineRule="exact"/>
        <w:ind w:firstLine="482" w:firstLineChars="200"/>
        <w:rPr>
          <w:rFonts w:hint="eastAsia" w:ascii="仿宋_GB2312" w:hAnsi="仿宋_GB2312" w:eastAsia="仿宋_GB2312" w:cs="仿宋_GB2312"/>
          <w:b/>
          <w:bCs/>
          <w:sz w:val="24"/>
          <w:szCs w:val="24"/>
          <w:lang w:val="en-GB" w:eastAsia="zh-CN"/>
        </w:rPr>
      </w:pPr>
      <w:r>
        <w:rPr>
          <w:rFonts w:hint="eastAsia" w:ascii="仿宋_GB2312" w:hAnsi="仿宋_GB2312" w:eastAsia="仿宋_GB2312" w:cs="仿宋_GB2312"/>
          <w:b/>
          <w:bCs/>
          <w:sz w:val="24"/>
          <w:szCs w:val="24"/>
          <w:lang w:eastAsia="zh-CN"/>
        </w:rPr>
        <w:t>8.双方责任划分</w:t>
      </w:r>
    </w:p>
    <w:p w14:paraId="55A416F6">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8.1 采购人责任</w:t>
      </w:r>
    </w:p>
    <w:p w14:paraId="1311CBB0">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（1）提供中控室的建设、网络布线、电源布线、办公设施等。</w:t>
      </w:r>
    </w:p>
    <w:p w14:paraId="2CBFDD21">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（2）提供立体仓库现场总配电柜及电源进线电缆，并负责接入总电源柜进线端（含桥架）。</w:t>
      </w:r>
    </w:p>
    <w:p w14:paraId="57930BAF">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（3）提供立体仓库区域临时电源接驳点。</w:t>
      </w:r>
    </w:p>
    <w:p w14:paraId="3F342A77">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（4）负责建筑物上开设、封堵穿墙洞口（乙方提供位置和尺寸）。</w:t>
      </w:r>
    </w:p>
    <w:p w14:paraId="4F4DF4AA">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（5）提供防火卷帘门、通风、空调、暖气、照明系统、立体仓库内消防系统（均不与立体仓库系统干涉）。</w:t>
      </w:r>
    </w:p>
    <w:p w14:paraId="7CB00B00">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（6）采购人确保三通一平。</w:t>
      </w:r>
    </w:p>
    <w:p w14:paraId="08A2F8C3">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8.2报价人责任</w:t>
      </w:r>
    </w:p>
    <w:p w14:paraId="6F2E0AC2">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（1）配合采购人进行方案设计。</w:t>
      </w:r>
    </w:p>
    <w:p w14:paraId="545F9DFA">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（2）负责立库货架系统、四向车、仓库输送系统、提升机、电气控制系统、电缆桥架电控柜、安全围栏、WCS、WMS 及硬件、立体仓库网络通讯硬件的供应。</w:t>
      </w:r>
    </w:p>
    <w:p w14:paraId="733C5011">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（3）负责设备包装运输、现场卸货搬运、供货范围内设备的安装调试。</w:t>
      </w:r>
    </w:p>
    <w:p w14:paraId="6BD88A9E">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（4）提供技术资料、技术培训、售后维保服务。</w:t>
      </w:r>
    </w:p>
    <w:p w14:paraId="6D4AC5B5">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（5）合同签订后两周内提供准确的设备布局平面图、土建、强弱电条件图等安装要求文件。</w:t>
      </w:r>
    </w:p>
    <w:p w14:paraId="688FA9C3">
      <w:pPr>
        <w:spacing w:line="400" w:lineRule="exact"/>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（6）负责设计图纸的二次优化深化设计，提供二次设计说明书等，经双方确认后实施。</w:t>
      </w:r>
    </w:p>
    <w:p w14:paraId="24CE966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0" w:firstLineChars="200"/>
        <w:textAlignment w:val="baseline"/>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（7）中选后，配合采购人对仓库基础及建筑提供技术指导和要求。</w:t>
      </w:r>
    </w:p>
    <w:p w14:paraId="455D97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napToGrid w:val="0"/>
          <w:color w:val="000000"/>
          <w:kern w:val="0"/>
          <w:sz w:val="24"/>
          <w:szCs w:val="24"/>
          <w:lang w:val="en-US" w:eastAsia="zh-CN" w:bidi="ar-SA"/>
        </w:rPr>
        <w:t>9</w:t>
      </w:r>
      <w:r>
        <w:rPr>
          <w:rFonts w:hint="default" w:ascii="仿宋_GB2312" w:hAnsi="仿宋_GB2312" w:eastAsia="仿宋_GB2312" w:cs="仿宋_GB2312"/>
          <w:b/>
          <w:bCs/>
          <w:snapToGrid w:val="0"/>
          <w:color w:val="000000"/>
          <w:kern w:val="0"/>
          <w:sz w:val="24"/>
          <w:szCs w:val="24"/>
          <w:lang w:val="en-US" w:eastAsia="zh-CN" w:bidi="ar-SA"/>
        </w:rPr>
        <w:t>．</w:t>
      </w:r>
      <w:r>
        <w:rPr>
          <w:rFonts w:hint="eastAsia" w:ascii="仿宋_GB2312" w:hAnsi="仿宋_GB2312" w:eastAsia="仿宋_GB2312" w:cs="仿宋_GB2312"/>
          <w:b/>
          <w:bCs/>
          <w:sz w:val="24"/>
          <w:szCs w:val="24"/>
          <w:lang w:val="en-US" w:eastAsia="zh-CN"/>
        </w:rPr>
        <w:t>报价要求</w:t>
      </w:r>
    </w:p>
    <w:p w14:paraId="3178934A">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报价应包括货款、发票（增值税专用发票）、安装、随机零配件、标配工具、运输、保险、调试、培训、质量保证期服务、各项税费及合同实施过程中不可预见费用等在内的一切费用。</w:t>
      </w:r>
    </w:p>
    <w:p w14:paraId="4F942284">
      <w:pPr>
        <w:pStyle w:val="3"/>
        <w:rPr>
          <w:rFonts w:hint="eastAsia"/>
          <w:lang w:val="en-US" w:eastAsia="zh-CN"/>
        </w:rPr>
      </w:pPr>
    </w:p>
    <w:sectPr>
      <w:headerReference r:id="rId5" w:type="default"/>
      <w:footerReference r:id="rId6" w:type="default"/>
      <w:pgSz w:w="11906" w:h="16839"/>
      <w:pgMar w:top="1440" w:right="1800" w:bottom="1440" w:left="1800" w:header="0" w:footer="0"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5423807-5719-433F-84E2-DCE93257D7E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1E182398-E756-4F88-A7A7-107FD25E891E}"/>
  </w:font>
  <w:font w:name="WPSEMBED8">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C4CF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ECA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WFiYjM1OWFkMjI5MzE2OTNkNGEzNWZhMGI4NmJmYzkifQ=="/>
  </w:docVars>
  <w:rsids>
    <w:rsidRoot w:val="00000000"/>
    <w:rsid w:val="00747410"/>
    <w:rsid w:val="030742E1"/>
    <w:rsid w:val="04D232E0"/>
    <w:rsid w:val="05E00E7B"/>
    <w:rsid w:val="077661E3"/>
    <w:rsid w:val="09495273"/>
    <w:rsid w:val="09EB664E"/>
    <w:rsid w:val="0C422517"/>
    <w:rsid w:val="0C705CE8"/>
    <w:rsid w:val="0D2D47D5"/>
    <w:rsid w:val="0D666D8A"/>
    <w:rsid w:val="101051ED"/>
    <w:rsid w:val="117619C8"/>
    <w:rsid w:val="132D03F5"/>
    <w:rsid w:val="149670E0"/>
    <w:rsid w:val="15122F49"/>
    <w:rsid w:val="15475B55"/>
    <w:rsid w:val="15BB209F"/>
    <w:rsid w:val="172D2DFA"/>
    <w:rsid w:val="17573DDF"/>
    <w:rsid w:val="176F6C9D"/>
    <w:rsid w:val="18AE5D0C"/>
    <w:rsid w:val="197C563D"/>
    <w:rsid w:val="1B9E758E"/>
    <w:rsid w:val="1EB25DEC"/>
    <w:rsid w:val="1ED529AA"/>
    <w:rsid w:val="1ED75AA2"/>
    <w:rsid w:val="1FC97167"/>
    <w:rsid w:val="20725C68"/>
    <w:rsid w:val="20A53730"/>
    <w:rsid w:val="23C50C61"/>
    <w:rsid w:val="23D507F1"/>
    <w:rsid w:val="25B07494"/>
    <w:rsid w:val="285D240C"/>
    <w:rsid w:val="2A007C29"/>
    <w:rsid w:val="2ABE4380"/>
    <w:rsid w:val="2ACA3285"/>
    <w:rsid w:val="31271F3F"/>
    <w:rsid w:val="312863E3"/>
    <w:rsid w:val="32E37A0E"/>
    <w:rsid w:val="35B66228"/>
    <w:rsid w:val="366C085C"/>
    <w:rsid w:val="36A23A09"/>
    <w:rsid w:val="371816E5"/>
    <w:rsid w:val="376B702A"/>
    <w:rsid w:val="37F30DCD"/>
    <w:rsid w:val="39DC42D4"/>
    <w:rsid w:val="3AD94670"/>
    <w:rsid w:val="3D3C3051"/>
    <w:rsid w:val="3D7D6E10"/>
    <w:rsid w:val="3DF75EED"/>
    <w:rsid w:val="3EBA6E8A"/>
    <w:rsid w:val="3EDE3CCE"/>
    <w:rsid w:val="3EF611B1"/>
    <w:rsid w:val="404D3163"/>
    <w:rsid w:val="40CD665F"/>
    <w:rsid w:val="419E6134"/>
    <w:rsid w:val="44963F7D"/>
    <w:rsid w:val="490004FF"/>
    <w:rsid w:val="49286513"/>
    <w:rsid w:val="4B017FAE"/>
    <w:rsid w:val="4C6836E0"/>
    <w:rsid w:val="4C8F12B1"/>
    <w:rsid w:val="4E42418F"/>
    <w:rsid w:val="4E564138"/>
    <w:rsid w:val="4EFC6D18"/>
    <w:rsid w:val="4F625CFC"/>
    <w:rsid w:val="50700DB5"/>
    <w:rsid w:val="511171F8"/>
    <w:rsid w:val="51D7277F"/>
    <w:rsid w:val="5287410B"/>
    <w:rsid w:val="52EA4E4F"/>
    <w:rsid w:val="52F739C6"/>
    <w:rsid w:val="53BA0A29"/>
    <w:rsid w:val="53F1586D"/>
    <w:rsid w:val="54F823AD"/>
    <w:rsid w:val="55154736"/>
    <w:rsid w:val="59006FDD"/>
    <w:rsid w:val="59684D1F"/>
    <w:rsid w:val="59A37FEE"/>
    <w:rsid w:val="5AF34ABD"/>
    <w:rsid w:val="5B1A1F6A"/>
    <w:rsid w:val="5C4B44A2"/>
    <w:rsid w:val="5D885990"/>
    <w:rsid w:val="5F3D09FC"/>
    <w:rsid w:val="603303DA"/>
    <w:rsid w:val="61096DE8"/>
    <w:rsid w:val="61412A26"/>
    <w:rsid w:val="635761C2"/>
    <w:rsid w:val="63743A15"/>
    <w:rsid w:val="63D264EE"/>
    <w:rsid w:val="64AF7CA6"/>
    <w:rsid w:val="653C19BA"/>
    <w:rsid w:val="65CD36D6"/>
    <w:rsid w:val="66001FA5"/>
    <w:rsid w:val="664C430D"/>
    <w:rsid w:val="664D7777"/>
    <w:rsid w:val="67F85E08"/>
    <w:rsid w:val="69C51540"/>
    <w:rsid w:val="6A3053E5"/>
    <w:rsid w:val="6A762E6E"/>
    <w:rsid w:val="6AA03B9D"/>
    <w:rsid w:val="6AAD6A36"/>
    <w:rsid w:val="6BAE6190"/>
    <w:rsid w:val="6C1C30F7"/>
    <w:rsid w:val="6D880234"/>
    <w:rsid w:val="6FF07B2E"/>
    <w:rsid w:val="719F706F"/>
    <w:rsid w:val="71AA46DF"/>
    <w:rsid w:val="77E154BF"/>
    <w:rsid w:val="7B8E01BE"/>
    <w:rsid w:val="7D0F04DC"/>
    <w:rsid w:val="7DC43C04"/>
    <w:rsid w:val="7F0569E9"/>
    <w:rsid w:val="7F4F23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1"/>
    <w:pPr>
      <w:spacing w:before="8"/>
      <w:ind w:right="1"/>
      <w:jc w:val="center"/>
      <w:outlineLvl w:val="0"/>
    </w:pPr>
    <w:rPr>
      <w:rFonts w:ascii="宋体" w:hAnsi="宋体" w:eastAsia="宋体" w:cs="宋体"/>
      <w:b/>
      <w:bCs/>
      <w:sz w:val="52"/>
      <w:szCs w:val="52"/>
      <w:lang w:val="zh-CN" w:eastAsia="zh-CN" w:bidi="zh-CN"/>
    </w:rPr>
  </w:style>
  <w:style w:type="paragraph" w:styleId="3">
    <w:name w:val="heading 2"/>
    <w:basedOn w:val="1"/>
    <w:next w:val="1"/>
    <w:qFormat/>
    <w:uiPriority w:val="0"/>
    <w:pPr>
      <w:keepNext/>
      <w:spacing w:after="156" w:line="360" w:lineRule="auto"/>
      <w:outlineLvl w:val="1"/>
    </w:pPr>
    <w:rPr>
      <w:rFonts w:ascii="宋体" w:hAnsi="宋体"/>
      <w:b/>
      <w:color w:val="000000"/>
      <w:kern w:val="0"/>
      <w:sz w:val="32"/>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kern w:val="0"/>
      <w:sz w:val="20"/>
      <w:szCs w:val="20"/>
    </w:rPr>
  </w:style>
  <w:style w:type="paragraph" w:styleId="5">
    <w:name w:val="annotation text"/>
    <w:basedOn w:val="1"/>
    <w:qFormat/>
    <w:uiPriority w:val="0"/>
    <w:pPr>
      <w:jc w:val="left"/>
    </w:pPr>
  </w:style>
  <w:style w:type="paragraph" w:styleId="6">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7">
    <w:name w:val="Body Text Indent"/>
    <w:basedOn w:val="1"/>
    <w:qFormat/>
    <w:uiPriority w:val="0"/>
    <w:pPr>
      <w:spacing w:line="390" w:lineRule="exact"/>
      <w:ind w:firstLine="480" w:firstLineChars="200"/>
    </w:pPr>
    <w:rPr>
      <w:rFonts w:eastAsia="方正仿宋简体"/>
      <w:sz w:val="24"/>
    </w:rPr>
  </w:style>
  <w:style w:type="paragraph" w:styleId="8">
    <w:name w:val="Plain Text"/>
    <w:basedOn w:val="1"/>
    <w:qFormat/>
    <w:uiPriority w:val="0"/>
    <w:pPr>
      <w:widowControl w:val="0"/>
      <w:jc w:val="both"/>
    </w:pPr>
    <w:rPr>
      <w:rFonts w:ascii="宋体" w:hAnsi="Courier New"/>
      <w:kern w:val="2"/>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22"/>
      <w:szCs w:val="22"/>
      <w:lang w:val="en-US" w:eastAsia="en-US" w:bidi="ar-SA"/>
    </w:rPr>
  </w:style>
  <w:style w:type="paragraph" w:customStyle="1" w:styleId="16">
    <w:name w:val="表格文字"/>
    <w:basedOn w:val="1"/>
    <w:next w:val="6"/>
    <w:qFormat/>
    <w:uiPriority w:val="0"/>
    <w:pPr>
      <w:spacing w:before="25" w:after="25"/>
      <w:jc w:val="left"/>
    </w:pPr>
    <w:rPr>
      <w:bCs/>
      <w:spacing w:val="10"/>
      <w:kern w:val="0"/>
      <w:sz w:val="24"/>
      <w:szCs w:val="20"/>
    </w:rPr>
  </w:style>
  <w:style w:type="character" w:customStyle="1" w:styleId="17">
    <w:name w:val="font21"/>
    <w:basedOn w:val="13"/>
    <w:qFormat/>
    <w:uiPriority w:val="0"/>
    <w:rPr>
      <w:rFonts w:hint="eastAsia" w:ascii="宋体" w:hAnsi="宋体" w:eastAsia="宋体" w:cs="宋体"/>
      <w:color w:val="FF0000"/>
      <w:sz w:val="20"/>
      <w:szCs w:val="20"/>
      <w:u w:val="none"/>
    </w:rPr>
  </w:style>
  <w:style w:type="character" w:customStyle="1" w:styleId="18">
    <w:name w:val="font11"/>
    <w:basedOn w:val="13"/>
    <w:qFormat/>
    <w:uiPriority w:val="0"/>
    <w:rPr>
      <w:rFonts w:hint="eastAsia" w:ascii="宋体" w:hAnsi="宋体" w:eastAsia="宋体" w:cs="宋体"/>
      <w:color w:val="000000"/>
      <w:sz w:val="20"/>
      <w:szCs w:val="20"/>
      <w:u w:val="none"/>
    </w:rPr>
  </w:style>
  <w:style w:type="paragraph" w:customStyle="1" w:styleId="19">
    <w:name w:val="Body Text Indent_795e4e8d-1e3e-4a1b-9e65-fdf716d38305"/>
    <w:basedOn w:val="1"/>
    <w:next w:val="1"/>
    <w:qFormat/>
    <w:uiPriority w:val="0"/>
    <w:pPr>
      <w:spacing w:line="620" w:lineRule="exact"/>
      <w:ind w:firstLine="640" w:firstLineChars="200"/>
    </w:pPr>
    <w:rPr>
      <w:rFonts w:ascii="Calibri" w:hAnsi="Calibri" w:eastAsia="仿宋_GB2312" w:cs="Times New Roman"/>
      <w:sz w:val="32"/>
    </w:rPr>
  </w:style>
  <w:style w:type="paragraph" w:styleId="20">
    <w:name w:val="List Paragraph"/>
    <w:basedOn w:val="1"/>
    <w:qFormat/>
    <w:uiPriority w:val="0"/>
    <w:pPr>
      <w:widowControl w:val="0"/>
      <w:ind w:firstLine="420" w:firstLineChars="200"/>
      <w:jc w:val="both"/>
    </w:pPr>
    <w:rPr>
      <w:rFonts w:ascii="Times New Roman" w:hAnsi="Times New Roman" w:eastAsia="宋体" w:cs="Times New Roman"/>
      <w:kern w:val="2"/>
    </w:rPr>
  </w:style>
  <w:style w:type="paragraph" w:customStyle="1" w:styleId="21">
    <w:name w:val="表格"/>
    <w:basedOn w:val="1"/>
    <w:next w:val="1"/>
    <w:qFormat/>
    <w:uiPriority w:val="0"/>
    <w:pPr>
      <w:contextualSpacing/>
      <w:jc w:val="center"/>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1147</Words>
  <Characters>1296</Characters>
  <TotalTime>33</TotalTime>
  <ScaleCrop>false</ScaleCrop>
  <LinksUpToDate>false</LinksUpToDate>
  <CharactersWithSpaces>1409</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2024-07-17T10:36:00Z</dcterms:created>
  <dc:creator>Lenovo</dc:creator>
  <cp:lastModifiedBy>广东正采</cp:lastModifiedBy>
  <cp:lastPrinted>2025-03-28T06:55:00Z</cp:lastPrinted>
  <dcterms:modified xsi:type="dcterms:W3CDTF">2025-08-20T08:50:36Z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2024-09-12T16:21:55Z</vt:filetime>
  </property>
  <property fmtid="{D5CDD505-2E9C-101B-9397-08002B2CF9AE}" pid="4" name="KSOProductBuildVer">
    <vt:lpwstr>2052-12.1.0.22529</vt:lpwstr>
  </property>
  <property fmtid="{D5CDD505-2E9C-101B-9397-08002B2CF9AE}" pid="5" name="ICV">
    <vt:lpwstr>8584B5B8B6454BDCA4B1F55250059507_13</vt:lpwstr>
  </property>
  <property fmtid="{D5CDD505-2E9C-101B-9397-08002B2CF9AE}" pid="6" name="KSOTemplateDocerSaveRecord">
    <vt:lpwstr>eyJoZGlkIjoiNDc5YjI5ZjVlMTc0MjNjNDNhNzkzYzA1MTg2YmM1Y2UiLCJ1c2VySWQiOiI5OTIyMzYwNTIifQ==</vt:lpwstr>
  </property>
</Properties>
</file>