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napToGrid w:val="0"/>
        <w:spacing w:line="360" w:lineRule="auto"/>
        <w:jc w:val="center"/>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6"/>
          <w:szCs w:val="36"/>
          <w:highlight w:val="none"/>
        </w:rPr>
        <w:t>采购需求</w:t>
      </w:r>
    </w:p>
    <w:p>
      <w:pPr>
        <w:numPr>
          <w:ilvl w:val="0"/>
          <w:numId w:val="0"/>
        </w:numPr>
        <w:spacing w:line="360" w:lineRule="auto"/>
        <w:jc w:val="both"/>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项目基本情况</w:t>
      </w:r>
    </w:p>
    <w:p>
      <w:pPr>
        <w:pStyle w:val="2"/>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highlight w:val="none"/>
          <w:lang w:val="en-US" w:eastAsia="zh-CN"/>
        </w:rPr>
        <w:t>项目名称：</w:t>
      </w:r>
      <w:r>
        <w:rPr>
          <w:rFonts w:hint="eastAsia" w:ascii="宋体" w:hAnsi="宋体" w:eastAsia="宋体" w:cs="宋体"/>
          <w:b w:val="0"/>
          <w:bCs w:val="0"/>
          <w:color w:val="auto"/>
          <w:spacing w:val="0"/>
          <w:position w:val="0"/>
          <w:sz w:val="21"/>
          <w:szCs w:val="21"/>
          <w:highlight w:val="none"/>
          <w:shd w:val="clear" w:fill="auto"/>
          <w:lang w:eastAsia="zh-CN"/>
        </w:rPr>
        <w:t>广州市文化馆2024-2026年辅助岗服务采购项目</w:t>
      </w:r>
    </w:p>
    <w:p>
      <w:pPr>
        <w:numPr>
          <w:ilvl w:val="0"/>
          <w:numId w:val="0"/>
        </w:numPr>
        <w:spacing w:line="360" w:lineRule="auto"/>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项目属性：</w:t>
      </w:r>
      <w:bookmarkStart w:id="0" w:name="EBab859897271841b9939244111dbcfccc"/>
      <w:r>
        <w:rPr>
          <w:rFonts w:hint="eastAsia" w:ascii="宋体" w:hAnsi="宋体" w:eastAsia="宋体" w:cs="宋体"/>
          <w:b w:val="0"/>
          <w:bCs w:val="0"/>
          <w:color w:val="auto"/>
          <w:sz w:val="21"/>
          <w:szCs w:val="21"/>
          <w:highlight w:val="none"/>
          <w:lang w:val="en-US" w:eastAsia="zh-CN"/>
        </w:rPr>
        <w:t>服务类</w:t>
      </w:r>
      <w:bookmarkEnd w:id="0"/>
      <w:bookmarkStart w:id="15" w:name="_GoBack"/>
      <w:bookmarkEnd w:id="15"/>
    </w:p>
    <w:p>
      <w:pPr>
        <w:numPr>
          <w:ilvl w:val="0"/>
          <w:numId w:val="0"/>
        </w:numPr>
        <w:spacing w:line="360" w:lineRule="auto"/>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品目类别：</w:t>
      </w:r>
      <w:r>
        <w:rPr>
          <w:rFonts w:hint="eastAsia" w:ascii="宋体" w:hAnsi="宋体" w:eastAsia="宋体" w:cs="宋体"/>
          <w:b w:val="0"/>
          <w:bCs w:val="0"/>
          <w:caps w:val="0"/>
          <w:color w:val="auto"/>
          <w:spacing w:val="0"/>
          <w:kern w:val="0"/>
          <w:sz w:val="21"/>
          <w:szCs w:val="21"/>
          <w:highlight w:val="none"/>
          <w:lang w:val="en-US" w:eastAsia="zh-CN" w:bidi="ar"/>
        </w:rPr>
        <w:t>C99000000</w:t>
      </w:r>
      <w:r>
        <w:rPr>
          <w:rFonts w:hint="eastAsia" w:ascii="宋体" w:hAnsi="宋体" w:eastAsia="宋体" w:cs="宋体"/>
          <w:b w:val="0"/>
          <w:bCs w:val="0"/>
          <w:color w:val="auto"/>
          <w:spacing w:val="0"/>
          <w:position w:val="0"/>
          <w:sz w:val="21"/>
          <w:szCs w:val="21"/>
          <w:highlight w:val="none"/>
          <w:shd w:val="clear" w:fill="auto"/>
          <w:lang w:val="en-US" w:eastAsia="zh-CN"/>
        </w:rPr>
        <w:t>其他服务</w:t>
      </w:r>
    </w:p>
    <w:p>
      <w:pPr>
        <w:numPr>
          <w:ilvl w:val="0"/>
          <w:numId w:val="0"/>
        </w:numPr>
        <w:spacing w:line="360" w:lineRule="auto"/>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采购预算（最高限价）：</w:t>
      </w:r>
      <w:bookmarkStart w:id="1" w:name="EBe81c38a5c7684373b0a24d97784e0eed"/>
      <w:r>
        <w:rPr>
          <w:rFonts w:hint="eastAsia" w:ascii="宋体" w:hAnsi="宋体" w:eastAsia="宋体" w:cs="宋体"/>
          <w:b w:val="0"/>
          <w:bCs w:val="0"/>
          <w:color w:val="auto"/>
          <w:sz w:val="21"/>
          <w:szCs w:val="21"/>
          <w:highlight w:val="none"/>
          <w:lang w:val="en-US" w:eastAsia="zh-CN"/>
        </w:rPr>
        <w:t>人民币1400万元</w:t>
      </w:r>
      <w:bookmarkEnd w:id="1"/>
      <w:r>
        <w:rPr>
          <w:rFonts w:hint="eastAsia" w:ascii="宋体" w:hAnsi="宋体" w:eastAsia="宋体" w:cs="宋体"/>
          <w:b w:val="0"/>
          <w:bCs w:val="0"/>
          <w:color w:val="auto"/>
          <w:sz w:val="21"/>
          <w:szCs w:val="21"/>
          <w:highlight w:val="none"/>
          <w:lang w:val="en-US" w:eastAsia="zh-CN"/>
        </w:rPr>
        <w:t>（其中每月约为人民币58.33万元）</w:t>
      </w:r>
    </w:p>
    <w:p>
      <w:pPr>
        <w:numPr>
          <w:ilvl w:val="0"/>
          <w:numId w:val="0"/>
        </w:numPr>
        <w:spacing w:line="360" w:lineRule="auto"/>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服务期限：合同签订后24个月。</w:t>
      </w:r>
    </w:p>
    <w:p>
      <w:pPr>
        <w:pStyle w:val="16"/>
        <w:numPr>
          <w:ilvl w:val="0"/>
          <w:numId w:val="0"/>
        </w:numPr>
        <w:snapToGrid w:val="0"/>
        <w:spacing w:line="360" w:lineRule="auto"/>
        <w:rPr>
          <w:rFonts w:hint="eastAsia" w:asciiTheme="minorEastAsia" w:hAnsiTheme="minorEastAsia" w:eastAsiaTheme="minorEastAsia" w:cstheme="minorEastAsia"/>
          <w:b/>
          <w:color w:val="auto"/>
          <w:szCs w:val="21"/>
          <w:highlight w:val="none"/>
          <w:lang w:val="en-US" w:eastAsia="zh-CN"/>
        </w:rPr>
      </w:pPr>
    </w:p>
    <w:p>
      <w:pPr>
        <w:pStyle w:val="16"/>
        <w:numPr>
          <w:ilvl w:val="0"/>
          <w:numId w:val="0"/>
        </w:numPr>
        <w:snapToGrid w:val="0"/>
        <w:spacing w:line="360" w:lineRule="auto"/>
        <w:rPr>
          <w:rFonts w:hint="eastAsia"/>
          <w:color w:val="auto"/>
          <w:lang w:eastAsia="zh-CN"/>
        </w:rPr>
      </w:pPr>
      <w:r>
        <w:rPr>
          <w:rFonts w:hint="eastAsia" w:asciiTheme="minorEastAsia" w:hAnsiTheme="minorEastAsia" w:eastAsiaTheme="minorEastAsia" w:cstheme="minorEastAsia"/>
          <w:b/>
          <w:color w:val="auto"/>
          <w:szCs w:val="21"/>
          <w:highlight w:val="none"/>
          <w:lang w:val="en-US" w:eastAsia="zh-CN"/>
        </w:rPr>
        <w:t>一、</w:t>
      </w:r>
      <w:r>
        <w:rPr>
          <w:rFonts w:hint="eastAsia" w:asciiTheme="minorEastAsia" w:hAnsiTheme="minorEastAsia" w:eastAsiaTheme="minorEastAsia" w:cstheme="minorEastAsia"/>
          <w:b/>
          <w:color w:val="auto"/>
          <w:szCs w:val="21"/>
          <w:highlight w:val="none"/>
        </w:rPr>
        <w:t>项目</w:t>
      </w:r>
      <w:r>
        <w:rPr>
          <w:rFonts w:hint="eastAsia" w:asciiTheme="minorEastAsia" w:hAnsiTheme="minorEastAsia" w:eastAsiaTheme="minorEastAsia" w:cstheme="minorEastAsia"/>
          <w:b/>
          <w:color w:val="auto"/>
          <w:szCs w:val="21"/>
          <w:highlight w:val="none"/>
          <w:lang w:val="en-US" w:eastAsia="zh-CN"/>
        </w:rPr>
        <w:t>概况</w:t>
      </w:r>
    </w:p>
    <w:p>
      <w:pPr>
        <w:pStyle w:val="16"/>
        <w:snapToGrid w:val="0"/>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广州市文化馆（广州市非物质遗产保护中心）成立于1956年，是国家设立的公益性文化事业单位，隶属于广州市文化广电旅游局。</w:t>
      </w:r>
      <w:r>
        <w:rPr>
          <w:rFonts w:hint="eastAsia" w:asciiTheme="minorEastAsia" w:hAnsiTheme="minorEastAsia" w:eastAsiaTheme="minorEastAsia" w:cstheme="minorEastAsia"/>
          <w:color w:val="auto"/>
          <w:szCs w:val="21"/>
          <w:highlight w:val="none"/>
          <w:lang w:val="en-US" w:eastAsia="zh-CN"/>
        </w:rPr>
        <w:t>广州市文化馆位于海珠区新滘中路288号，自2023年以来，</w:t>
      </w:r>
      <w:r>
        <w:rPr>
          <w:rFonts w:hint="eastAsia" w:asciiTheme="minorEastAsia" w:hAnsiTheme="minorEastAsia" w:eastAsiaTheme="minorEastAsia" w:cstheme="minorEastAsia"/>
          <w:color w:val="auto"/>
          <w:szCs w:val="21"/>
          <w:highlight w:val="none"/>
        </w:rPr>
        <w:t>服务群众总人次</w:t>
      </w:r>
      <w:r>
        <w:rPr>
          <w:rFonts w:hint="eastAsia" w:asciiTheme="minorEastAsia" w:hAnsiTheme="minorEastAsia" w:eastAsiaTheme="minorEastAsia" w:cstheme="minorEastAsia"/>
          <w:color w:val="auto"/>
          <w:szCs w:val="21"/>
          <w:highlight w:val="none"/>
          <w:lang w:val="en-US" w:eastAsia="zh-CN"/>
        </w:rPr>
        <w:t>达100</w:t>
      </w:r>
      <w:r>
        <w:rPr>
          <w:rFonts w:hint="eastAsia" w:asciiTheme="minorEastAsia" w:hAnsiTheme="minorEastAsia" w:eastAsiaTheme="minorEastAsia" w:cstheme="minorEastAsia"/>
          <w:color w:val="auto"/>
          <w:szCs w:val="21"/>
          <w:highlight w:val="none"/>
        </w:rPr>
        <w:t>万</w:t>
      </w:r>
      <w:r>
        <w:rPr>
          <w:rFonts w:hint="eastAsia" w:asciiTheme="minorEastAsia" w:hAnsiTheme="minorEastAsia" w:eastAsiaTheme="minorEastAsia" w:cstheme="minorEastAsia"/>
          <w:color w:val="auto"/>
          <w:szCs w:val="21"/>
          <w:highlight w:val="none"/>
          <w:lang w:val="en-US" w:eastAsia="zh-CN"/>
        </w:rPr>
        <w:t>人次</w:t>
      </w:r>
      <w:r>
        <w:rPr>
          <w:rFonts w:hint="eastAsia" w:asciiTheme="minorEastAsia" w:hAnsiTheme="minorEastAsia" w:eastAsiaTheme="minorEastAsia" w:cstheme="minorEastAsia"/>
          <w:color w:val="auto"/>
          <w:szCs w:val="21"/>
          <w:highlight w:val="none"/>
        </w:rPr>
        <w:t>。广州市文化馆组织各类演出比赛、讲座、展览、各类综合性文化活动</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rPr>
        <w:t>公益培训班</w:t>
      </w:r>
      <w:r>
        <w:rPr>
          <w:rFonts w:hint="eastAsia" w:asciiTheme="minorEastAsia" w:hAnsiTheme="minorEastAsia" w:eastAsiaTheme="minorEastAsia" w:cstheme="minorEastAsia"/>
          <w:color w:val="auto"/>
          <w:szCs w:val="21"/>
          <w:highlight w:val="none"/>
          <w:lang w:val="en-US" w:eastAsia="zh-CN"/>
        </w:rPr>
        <w:t>等丰富的活动</w:t>
      </w:r>
      <w:r>
        <w:rPr>
          <w:rFonts w:hint="eastAsia" w:asciiTheme="minorEastAsia" w:hAnsiTheme="minorEastAsia" w:eastAsiaTheme="minorEastAsia" w:cstheme="minorEastAsia"/>
          <w:color w:val="auto"/>
          <w:szCs w:val="21"/>
          <w:highlight w:val="none"/>
        </w:rPr>
        <w:t>。本项目拟采用公开招标方式确定一家中标人，为广州市文化馆提供辅助性服务，服务内容包括但不限于辅助群众文化活动开展、讲解服务等。</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二 、总体服务内容及要求</w:t>
      </w:r>
    </w:p>
    <w:p>
      <w:pPr>
        <w:pStyle w:val="16"/>
        <w:snapToGrid w:val="0"/>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为广州市文化馆提供以下服务：馆内讲解、展厅管理等重大活动专业性服务辅助、接待、会务等相关工作的执行与管理，根据目前辅助岗工作情况，具体服务内容及要求如下：</w:t>
      </w:r>
    </w:p>
    <w:p>
      <w:pPr>
        <w:pStyle w:val="16"/>
        <w:snapToGrid w:val="0"/>
        <w:spacing w:line="360" w:lineRule="auto"/>
        <w:rPr>
          <w:rFonts w:hint="eastAsia" w:asciiTheme="minorEastAsia" w:hAnsiTheme="minorEastAsia" w:eastAsiaTheme="minorEastAsia" w:cstheme="minorEastAsia"/>
          <w:b/>
          <w:bCs/>
          <w:color w:val="auto"/>
          <w:szCs w:val="21"/>
          <w:highlight w:val="none"/>
          <w:lang w:val="en-US" w:eastAsia="zh-CN"/>
        </w:rPr>
      </w:pPr>
      <w:r>
        <w:rPr>
          <w:rFonts w:hint="eastAsia" w:asciiTheme="minorEastAsia" w:hAnsiTheme="minorEastAsia" w:eastAsiaTheme="minorEastAsia" w:cstheme="minorEastAsia"/>
          <w:b/>
          <w:bCs/>
          <w:color w:val="auto"/>
          <w:szCs w:val="21"/>
          <w:highlight w:val="none"/>
        </w:rPr>
        <w:t>（一）</w:t>
      </w:r>
      <w:r>
        <w:rPr>
          <w:rFonts w:hint="eastAsia" w:asciiTheme="minorEastAsia" w:hAnsiTheme="minorEastAsia" w:eastAsiaTheme="minorEastAsia" w:cstheme="minorEastAsia"/>
          <w:b/>
          <w:bCs/>
          <w:color w:val="auto"/>
          <w:szCs w:val="21"/>
          <w:highlight w:val="none"/>
          <w:lang w:val="en-US" w:eastAsia="zh-CN"/>
        </w:rPr>
        <w:t>开放</w:t>
      </w:r>
      <w:r>
        <w:rPr>
          <w:rFonts w:hint="eastAsia" w:asciiTheme="minorEastAsia" w:hAnsiTheme="minorEastAsia" w:eastAsiaTheme="minorEastAsia" w:cstheme="minorEastAsia"/>
          <w:b/>
          <w:bCs/>
          <w:color w:val="auto"/>
          <w:szCs w:val="21"/>
          <w:highlight w:val="none"/>
        </w:rPr>
        <w:t>服务</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szCs w:val="21"/>
          <w:highlight w:val="none"/>
        </w:rPr>
        <w:t>1.</w:t>
      </w:r>
      <w:r>
        <w:rPr>
          <w:rFonts w:hint="eastAsia" w:asciiTheme="minorEastAsia" w:hAnsiTheme="minorEastAsia" w:eastAsiaTheme="minorEastAsia" w:cstheme="minorEastAsia"/>
          <w:b/>
          <w:bCs/>
          <w:color w:val="auto"/>
          <w:szCs w:val="21"/>
          <w:highlight w:val="none"/>
          <w:lang w:val="en-US" w:eastAsia="zh-CN"/>
        </w:rPr>
        <w:t>开放</w:t>
      </w:r>
      <w:r>
        <w:rPr>
          <w:rFonts w:hint="eastAsia" w:asciiTheme="minorEastAsia" w:hAnsiTheme="minorEastAsia" w:eastAsiaTheme="minorEastAsia" w:cstheme="minorEastAsia"/>
          <w:b/>
          <w:bCs/>
          <w:color w:val="auto"/>
          <w:szCs w:val="21"/>
          <w:highlight w:val="none"/>
        </w:rPr>
        <w:t>服务</w:t>
      </w:r>
      <w:r>
        <w:rPr>
          <w:rFonts w:hint="eastAsia" w:asciiTheme="minorEastAsia" w:hAnsiTheme="minorEastAsia" w:eastAsiaTheme="minorEastAsia" w:cstheme="minorEastAsia"/>
          <w:b/>
          <w:bCs/>
          <w:color w:val="auto"/>
          <w:szCs w:val="21"/>
          <w:highlight w:val="none"/>
          <w:lang w:val="en-US" w:eastAsia="zh-CN"/>
        </w:rPr>
        <w:t>管理</w:t>
      </w:r>
      <w:r>
        <w:rPr>
          <w:rFonts w:hint="eastAsia" w:asciiTheme="minorEastAsia" w:hAnsiTheme="minorEastAsia" w:eastAsiaTheme="minorEastAsia" w:cstheme="minorEastAsia"/>
          <w:b/>
          <w:bCs/>
          <w:color w:val="auto"/>
          <w:szCs w:val="21"/>
          <w:highlight w:val="none"/>
        </w:rPr>
        <w:t>内容</w:t>
      </w:r>
      <w:r>
        <w:rPr>
          <w:rFonts w:hint="eastAsia" w:asciiTheme="minorEastAsia" w:hAnsiTheme="minorEastAsia" w:eastAsiaTheme="minorEastAsia" w:cstheme="minorEastAsia"/>
          <w:color w:val="auto"/>
          <w:szCs w:val="21"/>
          <w:highlight w:val="none"/>
        </w:rPr>
        <w:t xml:space="preserve"> </w:t>
      </w:r>
    </w:p>
    <w:p>
      <w:pPr>
        <w:pStyle w:val="16"/>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1）</w:t>
      </w:r>
      <w:r>
        <w:rPr>
          <w:rFonts w:hint="eastAsia" w:asciiTheme="minorEastAsia" w:hAnsiTheme="minorEastAsia" w:eastAsiaTheme="minorEastAsia" w:cstheme="minorEastAsia"/>
          <w:color w:val="auto"/>
          <w:szCs w:val="21"/>
          <w:highlight w:val="none"/>
        </w:rPr>
        <w:t>维护，保障场馆正常开放秩序，发现不安全因素，及时有效地处理。遇到紧急情况，能采取有效措施及时处理，无因服务疏忽造成的破坏事件等。</w:t>
      </w:r>
    </w:p>
    <w:p>
      <w:pPr>
        <w:pStyle w:val="16"/>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（2）当班人员配合采购人活动计划开关相应展区门窗。检查展柜、门窗、封条是否完整，认真填写展场日记并签名，如发现异常情况，必须及时报告处理，保护好现场。</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3）维持好展场秩序，保持安静。不得串岗聊天、看书报杂志、玩手机、打私人电话或办私事；不得打瞌睡、不得在展场内吸烟、乱跑、不得在岗位上饮食。必须不间断巡查展场，发现问题及时向采购人主管部门报告。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（4）不得随意进入非工作的区域和场所，不得私自动用馆内的物品和设备。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（5）采购人工作人员开展柜进行清理工作、提取文物拍照等情况，当班人员要在现场进行秩序维持，确保安全。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6</w:t>
      </w:r>
      <w:r>
        <w:rPr>
          <w:rFonts w:hint="eastAsia" w:asciiTheme="minorEastAsia" w:hAnsiTheme="minorEastAsia" w:eastAsiaTheme="minorEastAsia" w:cstheme="minorEastAsia"/>
          <w:color w:val="auto"/>
          <w:szCs w:val="21"/>
          <w:highlight w:val="none"/>
        </w:rPr>
        <w:t xml:space="preserve">）热情为观众服务，不允许与观众发生争吵。在展场捡到观众的失物要及时报告采购人主管部门并转交到大厅总服务台等待认领。发现观众出现身体不适等异常突发情况要及时报告主管部门进行处理；闭馆前可轻声礼貌提醒观众注意参观时间，不得无礼驱赶。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7</w:t>
      </w:r>
      <w:r>
        <w:rPr>
          <w:rFonts w:hint="eastAsia" w:asciiTheme="minorEastAsia" w:hAnsiTheme="minorEastAsia" w:eastAsiaTheme="minorEastAsia" w:cstheme="minorEastAsia"/>
          <w:color w:val="auto"/>
          <w:szCs w:val="21"/>
          <w:highlight w:val="none"/>
        </w:rPr>
        <w:t xml:space="preserve">）熟悉各区域的安全通道，能熟练使用消防、急救等应急器材，熟悉各区域水、电、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设备开关，发生突发紧急情况时及时处理并引导观众疏散到安全区域。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 xml:space="preserve">）遇紧急情况时，中标供应商应采取相应应急措施，防止突发事件事态进一步恶化，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第一时间报告采购人，协助保护现场。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9</w:t>
      </w:r>
      <w:r>
        <w:rPr>
          <w:rFonts w:hint="eastAsia" w:asciiTheme="minorEastAsia" w:hAnsiTheme="minorEastAsia" w:eastAsiaTheme="minorEastAsia" w:cstheme="minorEastAsia"/>
          <w:color w:val="auto"/>
          <w:szCs w:val="21"/>
          <w:highlight w:val="none"/>
        </w:rPr>
        <w:t xml:space="preserve">）中标供应商应对文化馆展厅区域进行重点巡逻、监控，并适时采用技防和人防相结合的方式，加强管理文化馆的管理。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0</w:t>
      </w:r>
      <w:r>
        <w:rPr>
          <w:rFonts w:hint="eastAsia" w:asciiTheme="minorEastAsia" w:hAnsiTheme="minorEastAsia" w:eastAsiaTheme="minorEastAsia" w:cstheme="minorEastAsia"/>
          <w:color w:val="auto"/>
          <w:szCs w:val="21"/>
          <w:highlight w:val="none"/>
        </w:rPr>
        <w:t>）完成采购人的其他工作安排。</w:t>
      </w:r>
    </w:p>
    <w:p>
      <w:pPr>
        <w:pStyle w:val="16"/>
        <w:snapToGrid w:val="0"/>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2.</w:t>
      </w:r>
      <w:r>
        <w:rPr>
          <w:rFonts w:hint="eastAsia" w:asciiTheme="minorEastAsia" w:hAnsiTheme="minorEastAsia" w:eastAsiaTheme="minorEastAsia" w:cstheme="minorEastAsia"/>
          <w:b/>
          <w:bCs/>
          <w:color w:val="auto"/>
          <w:szCs w:val="21"/>
          <w:highlight w:val="none"/>
          <w:lang w:val="en-US" w:eastAsia="zh-CN"/>
        </w:rPr>
        <w:t>开放</w:t>
      </w:r>
      <w:r>
        <w:rPr>
          <w:rFonts w:hint="eastAsia" w:asciiTheme="minorEastAsia" w:hAnsiTheme="minorEastAsia" w:eastAsiaTheme="minorEastAsia" w:cstheme="minorEastAsia"/>
          <w:b/>
          <w:bCs/>
          <w:color w:val="auto"/>
          <w:szCs w:val="21"/>
          <w:highlight w:val="none"/>
        </w:rPr>
        <w:t>服务</w:t>
      </w:r>
      <w:r>
        <w:rPr>
          <w:rFonts w:hint="eastAsia" w:asciiTheme="minorEastAsia" w:hAnsiTheme="minorEastAsia" w:eastAsiaTheme="minorEastAsia" w:cstheme="minorEastAsia"/>
          <w:b/>
          <w:bCs/>
          <w:color w:val="auto"/>
          <w:szCs w:val="21"/>
          <w:highlight w:val="none"/>
          <w:lang w:val="en-US" w:eastAsia="zh-CN"/>
        </w:rPr>
        <w:t>岗</w:t>
      </w:r>
      <w:r>
        <w:rPr>
          <w:rFonts w:hint="eastAsia" w:asciiTheme="minorEastAsia" w:hAnsiTheme="minorEastAsia" w:eastAsiaTheme="minorEastAsia" w:cstheme="minorEastAsia"/>
          <w:b/>
          <w:bCs/>
          <w:color w:val="auto"/>
          <w:szCs w:val="21"/>
          <w:highlight w:val="none"/>
        </w:rPr>
        <w:t xml:space="preserve">要求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1）年龄4</w:t>
      </w:r>
      <w:r>
        <w:rPr>
          <w:rFonts w:asciiTheme="minorEastAsia" w:hAnsiTheme="minorEastAsia" w:eastAsiaTheme="minorEastAsia" w:cstheme="minorEastAsia"/>
          <w:color w:val="auto"/>
          <w:szCs w:val="21"/>
          <w:highlight w:val="none"/>
        </w:rPr>
        <w:t>5</w:t>
      </w:r>
      <w:r>
        <w:rPr>
          <w:rFonts w:hint="eastAsia" w:asciiTheme="minorEastAsia" w:hAnsiTheme="minorEastAsia" w:eastAsiaTheme="minorEastAsia" w:cstheme="minorEastAsia"/>
          <w:color w:val="auto"/>
          <w:szCs w:val="21"/>
          <w:highlight w:val="none"/>
        </w:rPr>
        <w:t xml:space="preserve">岁或以下，大学专科或以上学历。 </w:t>
      </w:r>
    </w:p>
    <w:p>
      <w:pPr>
        <w:pStyle w:val="16"/>
        <w:snapToGrid w:val="0"/>
        <w:spacing w:line="360" w:lineRule="auto"/>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rPr>
        <w:t xml:space="preserve">)严格遵守广州市文化馆的各项规章制度。 </w:t>
      </w:r>
    </w:p>
    <w:p>
      <w:pPr>
        <w:pStyle w:val="16"/>
        <w:snapToGrid w:val="0"/>
        <w:spacing w:line="360" w:lineRule="auto"/>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rPr>
        <w:t xml:space="preserve">)文明值勤，训练有素、语言规范、认真负责、着装统一整齐。 </w:t>
      </w:r>
    </w:p>
    <w:p>
      <w:pPr>
        <w:pStyle w:val="16"/>
        <w:snapToGrid w:val="0"/>
        <w:spacing w:line="360" w:lineRule="auto"/>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4</w:t>
      </w:r>
      <w:r>
        <w:rPr>
          <w:rFonts w:hint="eastAsia" w:asciiTheme="minorEastAsia" w:hAnsiTheme="minorEastAsia" w:eastAsiaTheme="minorEastAsia" w:cstheme="minorEastAsia"/>
          <w:color w:val="auto"/>
          <w:szCs w:val="21"/>
          <w:highlight w:val="none"/>
        </w:rPr>
        <w:t xml:space="preserve">)服从上级、忠于职守、正直诚实、团结协作、勤勉高效。 </w:t>
      </w:r>
    </w:p>
    <w:p>
      <w:pPr>
        <w:pStyle w:val="16"/>
        <w:snapToGrid w:val="0"/>
        <w:spacing w:line="360" w:lineRule="auto"/>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5</w:t>
      </w:r>
      <w:r>
        <w:rPr>
          <w:rFonts w:hint="eastAsia" w:asciiTheme="minorEastAsia" w:hAnsiTheme="minorEastAsia" w:eastAsiaTheme="minorEastAsia" w:cstheme="minorEastAsia"/>
          <w:color w:val="auto"/>
          <w:szCs w:val="21"/>
          <w:highlight w:val="none"/>
        </w:rPr>
        <w:t xml:space="preserve">)礼貌、乐观、友善、热情、耐心、平等。 </w:t>
      </w:r>
    </w:p>
    <w:p>
      <w:pPr>
        <w:pStyle w:val="16"/>
        <w:snapToGrid w:val="0"/>
        <w:spacing w:line="360" w:lineRule="auto"/>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6</w:t>
      </w:r>
      <w:r>
        <w:rPr>
          <w:rFonts w:hint="eastAsia" w:asciiTheme="minorEastAsia" w:hAnsiTheme="minorEastAsia" w:eastAsiaTheme="minorEastAsia" w:cstheme="minorEastAsia"/>
          <w:color w:val="auto"/>
          <w:szCs w:val="21"/>
          <w:highlight w:val="none"/>
        </w:rPr>
        <w:t xml:space="preserve">)对火灾、水患、治安、刑事、交通等突发事件的发生要有处理预案和相应的处理能力。 </w:t>
      </w:r>
    </w:p>
    <w:p>
      <w:pPr>
        <w:pStyle w:val="16"/>
        <w:snapToGrid w:val="0"/>
        <w:spacing w:line="360" w:lineRule="auto"/>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7</w:t>
      </w:r>
      <w:r>
        <w:rPr>
          <w:rFonts w:hint="eastAsia" w:asciiTheme="minorEastAsia" w:hAnsiTheme="minorEastAsia" w:eastAsiaTheme="minorEastAsia" w:cstheme="minorEastAsia"/>
          <w:color w:val="auto"/>
          <w:szCs w:val="21"/>
          <w:highlight w:val="none"/>
        </w:rPr>
        <w:t xml:space="preserve">)对展馆发现的问题及时处理，并及时向中标供应商主管领导和采购人相关部门报告，登记记录。 </w:t>
      </w:r>
    </w:p>
    <w:p>
      <w:pPr>
        <w:pStyle w:val="16"/>
        <w:snapToGrid w:val="0"/>
        <w:spacing w:line="360" w:lineRule="auto"/>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8</w:t>
      </w:r>
      <w:r>
        <w:rPr>
          <w:rFonts w:hint="eastAsia" w:asciiTheme="minorEastAsia" w:hAnsiTheme="minorEastAsia" w:eastAsiaTheme="minorEastAsia" w:cstheme="minorEastAsia"/>
          <w:color w:val="auto"/>
          <w:szCs w:val="21"/>
          <w:highlight w:val="none"/>
        </w:rPr>
        <w:t xml:space="preserve">)遇突发事件要立即赶赴现场进行确认，并及时向中标供应商主管领导和采购人报告，由采购人上报相关部门进行处理。 </w:t>
      </w:r>
    </w:p>
    <w:p>
      <w:pPr>
        <w:pStyle w:val="16"/>
        <w:snapToGrid w:val="0"/>
        <w:spacing w:line="360" w:lineRule="auto"/>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9</w:t>
      </w:r>
      <w:r>
        <w:rPr>
          <w:rFonts w:hint="eastAsia" w:asciiTheme="minorEastAsia" w:hAnsiTheme="minorEastAsia" w:eastAsiaTheme="minorEastAsia" w:cstheme="minorEastAsia"/>
          <w:color w:val="auto"/>
          <w:szCs w:val="21"/>
          <w:highlight w:val="none"/>
        </w:rPr>
        <w:t xml:space="preserve">)不得随意进入非工作的区域和场所，不得私自动用馆的物品和设备。 </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asciiTheme="minorEastAsia" w:hAnsiTheme="minorEastAsia" w:eastAsiaTheme="minorEastAsia" w:cstheme="minorEastAsia"/>
          <w:color w:val="auto"/>
          <w:szCs w:val="21"/>
          <w:highlight w:val="none"/>
        </w:rPr>
        <w:t>0</w:t>
      </w:r>
      <w:r>
        <w:rPr>
          <w:rFonts w:hint="eastAsia" w:asciiTheme="minorEastAsia" w:hAnsiTheme="minorEastAsia" w:eastAsiaTheme="minorEastAsia" w:cstheme="minorEastAsia"/>
          <w:color w:val="auto"/>
          <w:szCs w:val="21"/>
          <w:highlight w:val="none"/>
        </w:rPr>
        <w:t>)热情接待前来咨询的每一位观众，解答公众对文化馆的咨询、观众引导，客流疏散、帮助观众解决问题，对观众不文明参观行为及时制止等；维护展场秩序，确保人员文物财产安全；具有基本消防知识和一般处理突发事件应急能力；接受必要岗位培训。</w:t>
      </w:r>
    </w:p>
    <w:p>
      <w:pPr>
        <w:pStyle w:val="16"/>
        <w:snapToGrid w:val="0"/>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（二）讲解服务</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szCs w:val="21"/>
          <w:highlight w:val="none"/>
        </w:rPr>
        <w:t>1.讲解服务内容</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（1）严格遵守广州市文化馆各项规章制度。具有高尚的职业道德，加强品德修养，文明服务。</w:t>
      </w:r>
    </w:p>
    <w:p>
      <w:pPr>
        <w:pStyle w:val="16"/>
        <w:snapToGrid w:val="0"/>
        <w:spacing w:line="360" w:lineRule="auto"/>
        <w:rPr>
          <w:rFonts w:asciiTheme="minorEastAsia" w:hAnsiTheme="minorEastAsia" w:eastAsiaTheme="minorEastAsia" w:cstheme="minorEastAsia"/>
          <w:color w:val="auto"/>
          <w:szCs w:val="21"/>
          <w:highlight w:val="none"/>
        </w:rPr>
      </w:pPr>
      <w:bookmarkStart w:id="2" w:name="_Toc16667605"/>
      <w:bookmarkStart w:id="3" w:name="_Toc16668026"/>
      <w:r>
        <w:rPr>
          <w:rFonts w:hint="eastAsia" w:asciiTheme="minorEastAsia" w:hAnsiTheme="minorEastAsia" w:eastAsiaTheme="minorEastAsia" w:cstheme="minorEastAsia"/>
          <w:color w:val="auto"/>
          <w:szCs w:val="21"/>
          <w:highlight w:val="none"/>
        </w:rPr>
        <w:t>（2）上班期间穿着工作服，仪容仪表整洁规范。按微笑服务要求，做到主动热情、着装得体，挂牌服务；</w:t>
      </w:r>
      <w:bookmarkEnd w:id="2"/>
      <w:bookmarkEnd w:id="3"/>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（3）热爱讲解工作，努力钻研业务，不断提高业务水平，向社会和观众提供优质的讲解服务。</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（4）讲解准确顺畅，熟悉业务，知识面广。普通话语音标准，表达流畅，熟练掌握讲解内容及技巧，讲解规范健康、耐心细致、不急不躁，保证讲解质量及讲解时间；</w:t>
      </w:r>
    </w:p>
    <w:p>
      <w:pPr>
        <w:pStyle w:val="16"/>
        <w:snapToGrid w:val="0"/>
        <w:spacing w:line="360" w:lineRule="auto"/>
        <w:rPr>
          <w:rFonts w:asciiTheme="minorEastAsia" w:hAnsiTheme="minorEastAsia" w:eastAsiaTheme="minorEastAsia" w:cstheme="minorEastAsia"/>
          <w:color w:val="auto"/>
          <w:szCs w:val="21"/>
          <w:highlight w:val="none"/>
        </w:rPr>
      </w:pPr>
      <w:bookmarkStart w:id="4" w:name="_Toc16668028"/>
      <w:bookmarkStart w:id="5" w:name="_Toc16667607"/>
      <w:r>
        <w:rPr>
          <w:rFonts w:hint="eastAsia" w:asciiTheme="minorEastAsia" w:hAnsiTheme="minorEastAsia" w:eastAsiaTheme="minorEastAsia" w:cstheme="minorEastAsia"/>
          <w:color w:val="auto"/>
          <w:szCs w:val="21"/>
          <w:highlight w:val="none"/>
        </w:rPr>
        <w:t>（5）讲解过程中应紧围绕展览大纲和讲解词，不得擅自改变内容；对于不同的受众对象，在原有讲解词的基础上，设计适合的讲解词；</w:t>
      </w:r>
      <w:bookmarkEnd w:id="4"/>
      <w:bookmarkEnd w:id="5"/>
      <w:bookmarkStart w:id="6" w:name="_Toc16667608"/>
      <w:bookmarkStart w:id="7" w:name="_Toc16668029"/>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（6）对游客的咨询应做到有问必答、文明用语、热情引导、接待有礼，并维持大堂及展厅的秩序；</w:t>
      </w:r>
      <w:bookmarkEnd w:id="6"/>
      <w:bookmarkEnd w:id="7"/>
      <w:bookmarkStart w:id="8" w:name="_Toc16667609"/>
      <w:bookmarkStart w:id="9" w:name="_Toc16668030"/>
      <w:r>
        <w:rPr>
          <w:rFonts w:hint="eastAsia" w:asciiTheme="minorEastAsia" w:hAnsiTheme="minorEastAsia" w:eastAsiaTheme="minorEastAsia" w:cstheme="minorEastAsia"/>
          <w:color w:val="auto"/>
          <w:szCs w:val="21"/>
          <w:highlight w:val="none"/>
        </w:rPr>
        <w:t>遇到刁难、冲突或投诉，保持谦逊克制，对合理要求尽可能予以满足，不合理要求礼貌委婉拒绝，不得与观众发生冲突</w:t>
      </w:r>
      <w:bookmarkEnd w:id="8"/>
      <w:bookmarkEnd w:id="9"/>
      <w:r>
        <w:rPr>
          <w:rFonts w:hint="eastAsia" w:asciiTheme="minorEastAsia" w:hAnsiTheme="minorEastAsia" w:eastAsiaTheme="minorEastAsia" w:cstheme="minorEastAsia"/>
          <w:color w:val="auto"/>
          <w:szCs w:val="21"/>
          <w:highlight w:val="none"/>
        </w:rPr>
        <w:t>。</w:t>
      </w:r>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（7）讲解员不得私自讲解并收取讲解费，也不得以任何理由向观众索取小费。</w:t>
      </w:r>
    </w:p>
    <w:p>
      <w:pPr>
        <w:pStyle w:val="16"/>
        <w:snapToGrid w:val="0"/>
        <w:spacing w:line="360" w:lineRule="auto"/>
        <w:rPr>
          <w:rFonts w:asciiTheme="minorEastAsia" w:hAnsiTheme="minorEastAsia" w:eastAsiaTheme="minorEastAsia" w:cstheme="minorEastAsia"/>
          <w:color w:val="auto"/>
          <w:szCs w:val="21"/>
          <w:highlight w:val="none"/>
        </w:rPr>
      </w:pPr>
      <w:bookmarkStart w:id="10" w:name="_Toc16667610"/>
      <w:bookmarkStart w:id="11" w:name="_Toc16668031"/>
      <w:r>
        <w:rPr>
          <w:rFonts w:hint="eastAsia" w:asciiTheme="minorEastAsia" w:hAnsiTheme="minorEastAsia" w:eastAsiaTheme="minorEastAsia" w:cstheme="minorEastAsia"/>
          <w:color w:val="auto"/>
          <w:szCs w:val="21"/>
          <w:highlight w:val="none"/>
        </w:rPr>
        <w:t>（8）每次定点讲解须提前10分钟到达讲解位置，耐心等待游客；</w:t>
      </w:r>
      <w:bookmarkEnd w:id="10"/>
      <w:bookmarkEnd w:id="11"/>
    </w:p>
    <w:p>
      <w:pPr>
        <w:pStyle w:val="16"/>
        <w:snapToGrid w:val="0"/>
        <w:spacing w:line="360" w:lineRule="auto"/>
        <w:rPr>
          <w:rFonts w:asciiTheme="minorEastAsia" w:hAnsiTheme="minorEastAsia" w:eastAsiaTheme="minorEastAsia" w:cstheme="minorEastAsia"/>
          <w:color w:val="auto"/>
          <w:szCs w:val="21"/>
          <w:highlight w:val="none"/>
        </w:rPr>
      </w:pPr>
      <w:bookmarkStart w:id="12" w:name="_Toc16668032"/>
      <w:bookmarkStart w:id="13" w:name="_Toc16667611"/>
      <w:r>
        <w:rPr>
          <w:rFonts w:hint="eastAsia" w:asciiTheme="minorEastAsia" w:hAnsiTheme="minorEastAsia" w:eastAsiaTheme="minorEastAsia" w:cstheme="minorEastAsia"/>
          <w:color w:val="auto"/>
          <w:szCs w:val="21"/>
          <w:highlight w:val="none"/>
        </w:rPr>
        <w:t>（9）采购人可按接待服务工作需要直接分配工作给讲解员，讲解员应服从采购人安排，确保各种接待不因服务不当而受影响；</w:t>
      </w:r>
      <w:bookmarkEnd w:id="12"/>
      <w:bookmarkEnd w:id="13"/>
    </w:p>
    <w:p>
      <w:pPr>
        <w:pStyle w:val="16"/>
        <w:snapToGrid w:val="0"/>
        <w:spacing w:line="360" w:lineRule="auto"/>
        <w:rPr>
          <w:rFonts w:asciiTheme="minorEastAsia" w:hAnsiTheme="minorEastAsia" w:eastAsiaTheme="minorEastAsia" w:cstheme="minorEastAsia"/>
          <w:color w:val="auto"/>
          <w:szCs w:val="21"/>
          <w:highlight w:val="none"/>
        </w:rPr>
      </w:pPr>
      <w:bookmarkStart w:id="14" w:name="OLE_LINK2"/>
      <w:r>
        <w:rPr>
          <w:rFonts w:hint="eastAsia" w:asciiTheme="minorEastAsia" w:hAnsiTheme="minorEastAsia" w:eastAsiaTheme="minorEastAsia" w:cstheme="minorEastAsia"/>
          <w:color w:val="auto"/>
          <w:szCs w:val="21"/>
          <w:highlight w:val="none"/>
        </w:rPr>
        <w:t>（10）讲解服务过程中保持正确的行姿、站姿和手势。</w:t>
      </w:r>
      <w:bookmarkEnd w:id="14"/>
    </w:p>
    <w:p>
      <w:pPr>
        <w:pStyle w:val="16"/>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（11）中标人应严格安排采购人要求挑选讲解员，采购人须对中标人讲解员提前做好培训工作，并有权要求中标人更换不合符采购人要求的讲解员，以保证文化馆对外服务质量。</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（12）负责文化馆各类展览讲解接待及一线服务工作；</w:t>
      </w:r>
      <w:r>
        <w:rPr>
          <w:rFonts w:hint="eastAsia" w:asciiTheme="minorEastAsia" w:hAnsiTheme="minorEastAsia" w:eastAsiaTheme="minorEastAsia" w:cstheme="minorEastAsia"/>
          <w:color w:val="auto"/>
          <w:szCs w:val="21"/>
          <w:highlight w:val="none"/>
        </w:rPr>
        <w:br w:type="textWrapping"/>
      </w:r>
      <w:r>
        <w:rPr>
          <w:rFonts w:hint="eastAsia" w:asciiTheme="minorEastAsia" w:hAnsiTheme="minorEastAsia" w:eastAsiaTheme="minorEastAsia" w:cstheme="minorEastAsia"/>
          <w:color w:val="auto"/>
          <w:szCs w:val="21"/>
          <w:highlight w:val="none"/>
        </w:rPr>
        <w:t>（13）其他相关工作；</w:t>
      </w:r>
    </w:p>
    <w:p>
      <w:pPr>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2.讲解</w:t>
      </w:r>
      <w:r>
        <w:rPr>
          <w:rFonts w:hint="eastAsia" w:asciiTheme="minorEastAsia" w:hAnsiTheme="minorEastAsia" w:eastAsiaTheme="minorEastAsia" w:cstheme="minorEastAsia"/>
          <w:b/>
          <w:bCs/>
          <w:color w:val="auto"/>
          <w:szCs w:val="21"/>
          <w:highlight w:val="none"/>
          <w:lang w:val="en-US" w:eastAsia="zh-CN"/>
        </w:rPr>
        <w:t>员岗</w:t>
      </w:r>
      <w:r>
        <w:rPr>
          <w:rFonts w:hint="eastAsia" w:asciiTheme="minorEastAsia" w:hAnsiTheme="minorEastAsia" w:eastAsiaTheme="minorEastAsia" w:cstheme="minorEastAsia"/>
          <w:b/>
          <w:bCs/>
          <w:color w:val="auto"/>
          <w:szCs w:val="21"/>
          <w:highlight w:val="none"/>
        </w:rPr>
        <w:t>要求</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（1）中标供应商应按本项需求组建专业服务团队，服务人员不少于</w:t>
      </w:r>
      <w:r>
        <w:rPr>
          <w:rFonts w:hint="eastAsia" w:asciiTheme="minorEastAsia" w:hAnsiTheme="minorEastAsia" w:eastAsiaTheme="minorEastAsia" w:cstheme="minorEastAsia"/>
          <w:color w:val="auto"/>
          <w:szCs w:val="21"/>
          <w:highlight w:val="none"/>
          <w:u w:val="single"/>
        </w:rPr>
        <w:t>10</w:t>
      </w:r>
      <w:r>
        <w:rPr>
          <w:rFonts w:hint="eastAsia" w:asciiTheme="minorEastAsia" w:hAnsiTheme="minorEastAsia" w:eastAsiaTheme="minorEastAsia" w:cstheme="minorEastAsia"/>
          <w:color w:val="auto"/>
          <w:szCs w:val="21"/>
          <w:highlight w:val="none"/>
        </w:rPr>
        <w:t>人。</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（2）严格遵守广州市文化馆的各项规章制度。</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（3）个人形象干净整洁，身上无异味。</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（4）讲解服务要口齿清晰，耐心细致。</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（5）年龄满足法定年龄，在22-35岁之间，女讲解员身高 1.65 米或以上，男讲解员身高 1.75米或以上；五官端正，有亲和力，口才好，英语口语熟练；</w:t>
      </w:r>
    </w:p>
    <w:p>
      <w:pPr>
        <w:spacing w:line="360" w:lineRule="auto"/>
        <w:rPr>
          <w:rFonts w:hint="eastAsia" w:asciiTheme="minorEastAsia" w:hAnsiTheme="minorEastAsia" w:eastAsiaTheme="minorEastAsia" w:cstheme="minorEastAsia"/>
          <w:b/>
          <w:bCs/>
          <w:color w:val="auto"/>
          <w:szCs w:val="21"/>
          <w:highlight w:val="none"/>
          <w:lang w:val="en-US" w:eastAsia="zh-CN"/>
        </w:rPr>
      </w:pPr>
      <w:r>
        <w:rPr>
          <w:rFonts w:hint="eastAsia" w:asciiTheme="minorEastAsia" w:hAnsiTheme="minorEastAsia" w:eastAsiaTheme="minorEastAsia" w:cstheme="minorEastAsia"/>
          <w:b/>
          <w:bCs/>
          <w:color w:val="auto"/>
          <w:szCs w:val="21"/>
          <w:highlight w:val="none"/>
        </w:rPr>
        <w:t>（三）</w:t>
      </w:r>
      <w:r>
        <w:rPr>
          <w:rFonts w:hint="eastAsia" w:asciiTheme="minorEastAsia" w:hAnsiTheme="minorEastAsia" w:eastAsiaTheme="minorEastAsia" w:cstheme="minorEastAsia"/>
          <w:b/>
          <w:bCs/>
          <w:color w:val="auto"/>
          <w:szCs w:val="21"/>
          <w:highlight w:val="none"/>
          <w:lang w:val="en-US" w:eastAsia="zh-CN"/>
        </w:rPr>
        <w:t>游客中心</w:t>
      </w:r>
      <w:r>
        <w:rPr>
          <w:rFonts w:hint="eastAsia" w:asciiTheme="minorEastAsia" w:hAnsiTheme="minorEastAsia" w:eastAsiaTheme="minorEastAsia" w:cstheme="minorEastAsia"/>
          <w:b/>
          <w:bCs/>
          <w:color w:val="auto"/>
          <w:szCs w:val="21"/>
          <w:highlight w:val="none"/>
        </w:rPr>
        <w:t>服务</w:t>
      </w:r>
    </w:p>
    <w:p>
      <w:pPr>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1.</w:t>
      </w:r>
      <w:r>
        <w:rPr>
          <w:rFonts w:hint="eastAsia" w:asciiTheme="minorEastAsia" w:hAnsiTheme="minorEastAsia" w:eastAsiaTheme="minorEastAsia" w:cstheme="minorEastAsia"/>
          <w:b/>
          <w:bCs/>
          <w:color w:val="auto"/>
          <w:szCs w:val="21"/>
          <w:highlight w:val="none"/>
          <w:lang w:val="en-US" w:eastAsia="zh-CN"/>
        </w:rPr>
        <w:t>游客中心</w:t>
      </w:r>
      <w:r>
        <w:rPr>
          <w:rFonts w:hint="eastAsia" w:asciiTheme="minorEastAsia" w:hAnsiTheme="minorEastAsia" w:eastAsiaTheme="minorEastAsia" w:cstheme="minorEastAsia"/>
          <w:b/>
          <w:bCs/>
          <w:color w:val="auto"/>
          <w:szCs w:val="21"/>
          <w:highlight w:val="none"/>
        </w:rPr>
        <w:t>服务内容</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（1）解答公众对文化馆的咨询。</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rPr>
        <w:t>）整理大堂宣传架上的宣传资料。</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）咨询台工作登记、讲解预约、活动预约及观众短信电话登记、爱国主义教育基地（未来）登记，每天下班前把当天接收到的预约登记提交给文化馆相关工作人员。</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4</w:t>
      </w:r>
      <w:r>
        <w:rPr>
          <w:rFonts w:hint="eastAsia" w:asciiTheme="minorEastAsia" w:hAnsiTheme="minorEastAsia" w:eastAsiaTheme="minorEastAsia" w:cstheme="minorEastAsia"/>
          <w:color w:val="auto"/>
          <w:szCs w:val="21"/>
          <w:highlight w:val="none"/>
        </w:rPr>
        <w:t>）导览器、轮椅、儿童推车、披肩、雨伞等便民设施的管理、租借登记工作，包括语音导览机充电、 日常消毒等。</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5</w:t>
      </w:r>
      <w:r>
        <w:rPr>
          <w:rFonts w:hint="eastAsia" w:asciiTheme="minorEastAsia" w:hAnsiTheme="minorEastAsia" w:eastAsiaTheme="minorEastAsia" w:cstheme="minorEastAsia"/>
          <w:color w:val="auto"/>
          <w:szCs w:val="21"/>
          <w:highlight w:val="none"/>
        </w:rPr>
        <w:t>）处理来人、来电及有关领导的造访等事项。</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6</w:t>
      </w:r>
      <w:r>
        <w:rPr>
          <w:rFonts w:hint="eastAsia" w:asciiTheme="minorEastAsia" w:hAnsiTheme="minorEastAsia" w:eastAsiaTheme="minorEastAsia" w:cstheme="minorEastAsia"/>
          <w:color w:val="auto"/>
          <w:szCs w:val="21"/>
          <w:highlight w:val="none"/>
        </w:rPr>
        <w:t>）协助管理文化馆志愿者签到登记。</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7</w:t>
      </w:r>
      <w:r>
        <w:rPr>
          <w:rFonts w:hint="eastAsia" w:asciiTheme="minorEastAsia" w:hAnsiTheme="minorEastAsia" w:eastAsiaTheme="minorEastAsia" w:cstheme="minorEastAsia"/>
          <w:color w:val="auto"/>
          <w:szCs w:val="21"/>
          <w:highlight w:val="none"/>
        </w:rPr>
        <w:t>）管理观众意见箱，接受观众对文化馆的建议、意见、要求，遇到不能处理的投诉或突发事件马上通知采购人主管部门和文化馆相关工作人员。</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）收纳、管理展厅展览资料、留言纸，并交予各展厅看展工作人员及时补充。</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9</w:t>
      </w:r>
      <w:r>
        <w:rPr>
          <w:rFonts w:hint="eastAsia" w:asciiTheme="minorEastAsia" w:hAnsiTheme="minorEastAsia" w:eastAsiaTheme="minorEastAsia" w:cstheme="minorEastAsia"/>
          <w:color w:val="auto"/>
          <w:szCs w:val="21"/>
          <w:highlight w:val="none"/>
        </w:rPr>
        <w:t>）播放免费讲解及闭馆提示的广播。</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val="en-US" w:eastAsia="zh-CN"/>
        </w:rPr>
        <w:t>10</w:t>
      </w:r>
      <w:r>
        <w:rPr>
          <w:rFonts w:hint="eastAsia" w:asciiTheme="minorEastAsia" w:hAnsiTheme="minorEastAsia" w:eastAsiaTheme="minorEastAsia" w:cstheme="minorEastAsia"/>
          <w:color w:val="auto"/>
          <w:szCs w:val="21"/>
          <w:highlight w:val="none"/>
        </w:rPr>
        <w:t>）失物登记及处理失物认领工作。</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1</w:t>
      </w:r>
      <w:r>
        <w:rPr>
          <w:rFonts w:hint="eastAsia" w:asciiTheme="minorEastAsia" w:hAnsiTheme="minorEastAsia" w:eastAsiaTheme="minorEastAsia" w:cstheme="minorEastAsia"/>
          <w:color w:val="auto"/>
          <w:szCs w:val="21"/>
          <w:highlight w:val="none"/>
        </w:rPr>
        <w:t>）管理急救箱，及时整理或添加必需的急救用品（急救箱及急救用品需由中标供应商提供）。</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rPr>
        <w:t>）配合采购人的其他工作。</w:t>
      </w:r>
    </w:p>
    <w:p>
      <w:pPr>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2.</w:t>
      </w:r>
      <w:r>
        <w:rPr>
          <w:rFonts w:hint="eastAsia" w:asciiTheme="minorEastAsia" w:hAnsiTheme="minorEastAsia" w:eastAsiaTheme="minorEastAsia" w:cstheme="minorEastAsia"/>
          <w:b/>
          <w:bCs/>
          <w:color w:val="auto"/>
          <w:szCs w:val="21"/>
          <w:highlight w:val="none"/>
          <w:lang w:val="en-US" w:eastAsia="zh-CN"/>
        </w:rPr>
        <w:t>游客中心服务岗工作</w:t>
      </w:r>
      <w:r>
        <w:rPr>
          <w:rFonts w:hint="eastAsia" w:asciiTheme="minorEastAsia" w:hAnsiTheme="minorEastAsia" w:eastAsiaTheme="minorEastAsia" w:cstheme="minorEastAsia"/>
          <w:b/>
          <w:bCs/>
          <w:color w:val="auto"/>
          <w:szCs w:val="21"/>
          <w:highlight w:val="none"/>
        </w:rPr>
        <w:t>要求</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rPr>
        <w:t>）严格遵守广州市文化馆的各项规章制度。</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rPr>
        <w:t>）个人形象干净整洁，身上无异味。</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rPr>
        <w:t>）咨询服务要口齿清晰，耐心细致。</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asciiTheme="minorEastAsia" w:hAnsiTheme="minorEastAsia" w:eastAsiaTheme="minorEastAsia" w:cstheme="minorEastAsia"/>
          <w:color w:val="auto"/>
          <w:szCs w:val="21"/>
          <w:highlight w:val="none"/>
        </w:rPr>
        <w:t>4</w:t>
      </w:r>
      <w:r>
        <w:rPr>
          <w:rFonts w:hint="eastAsia" w:asciiTheme="minorEastAsia" w:hAnsiTheme="minorEastAsia" w:eastAsiaTheme="minorEastAsia" w:cstheme="minorEastAsia"/>
          <w:color w:val="auto"/>
          <w:szCs w:val="21"/>
          <w:highlight w:val="none"/>
        </w:rPr>
        <w:t>）热情接待前来咨询的每一位观众，认真做好展览介绍、观众引导，客流疏散、帮</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助观众解决问题，对观众不文明参观行为及时制止等。</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asciiTheme="minorEastAsia" w:hAnsiTheme="minorEastAsia" w:eastAsiaTheme="minorEastAsia" w:cstheme="minorEastAsia"/>
          <w:color w:val="auto"/>
          <w:szCs w:val="21"/>
          <w:highlight w:val="none"/>
        </w:rPr>
        <w:t>5</w:t>
      </w:r>
      <w:r>
        <w:rPr>
          <w:rFonts w:hint="eastAsia" w:asciiTheme="minorEastAsia" w:hAnsiTheme="minorEastAsia" w:eastAsiaTheme="minorEastAsia" w:cstheme="minorEastAsia"/>
          <w:color w:val="auto"/>
          <w:szCs w:val="21"/>
          <w:highlight w:val="none"/>
        </w:rPr>
        <w:t>）咨询台要始终保持整洁，资料摆放整齐，桌面无杂物，工作期间不得做与工作无</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关之事。</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asciiTheme="minorEastAsia" w:hAnsiTheme="minorEastAsia" w:eastAsiaTheme="minorEastAsia" w:cstheme="minorEastAsia"/>
          <w:color w:val="auto"/>
          <w:szCs w:val="21"/>
          <w:highlight w:val="none"/>
        </w:rPr>
        <w:t>6</w:t>
      </w:r>
      <w:r>
        <w:rPr>
          <w:rFonts w:hint="eastAsia" w:asciiTheme="minorEastAsia" w:hAnsiTheme="minorEastAsia" w:eastAsiaTheme="minorEastAsia" w:cstheme="minorEastAsia"/>
          <w:color w:val="auto"/>
          <w:szCs w:val="21"/>
          <w:highlight w:val="none"/>
        </w:rPr>
        <w:t>）普通话流利，懂粤语，有一定的英语能力，具有旅游、公关工作经验。</w:t>
      </w:r>
    </w:p>
    <w:p>
      <w:pPr>
        <w:spacing w:line="360" w:lineRule="auto"/>
        <w:ind w:firstLine="210" w:firstLineChars="1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asciiTheme="minorEastAsia" w:hAnsiTheme="minorEastAsia" w:eastAsiaTheme="minorEastAsia" w:cstheme="minorEastAsia"/>
          <w:color w:val="auto"/>
          <w:szCs w:val="21"/>
          <w:highlight w:val="none"/>
        </w:rPr>
        <w:t>7</w:t>
      </w:r>
      <w:r>
        <w:rPr>
          <w:rFonts w:hint="eastAsia" w:asciiTheme="minorEastAsia" w:hAnsiTheme="minorEastAsia" w:eastAsiaTheme="minorEastAsia" w:cstheme="minorEastAsia"/>
          <w:color w:val="auto"/>
          <w:szCs w:val="21"/>
          <w:highlight w:val="none"/>
        </w:rPr>
        <w:t>）领班要求具有全日制本科或以上学历，普通话二级甲等证书，大学英语六级（成</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绩达425分或以上）。</w:t>
      </w:r>
    </w:p>
    <w:p>
      <w:pPr>
        <w:pStyle w:val="16"/>
        <w:snapToGrid w:val="0"/>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三、</w:t>
      </w:r>
      <w:r>
        <w:rPr>
          <w:rFonts w:hint="eastAsia" w:asciiTheme="minorEastAsia" w:hAnsiTheme="minorEastAsia" w:eastAsiaTheme="minorEastAsia" w:cstheme="minorEastAsia"/>
          <w:b/>
          <w:bCs/>
          <w:color w:val="auto"/>
          <w:szCs w:val="21"/>
          <w:highlight w:val="none"/>
          <w:lang w:val="en-US" w:eastAsia="zh-CN"/>
        </w:rPr>
        <w:t>辅助岗</w:t>
      </w:r>
      <w:r>
        <w:rPr>
          <w:rFonts w:hint="eastAsia" w:asciiTheme="minorEastAsia" w:hAnsiTheme="minorEastAsia" w:eastAsiaTheme="minorEastAsia" w:cstheme="minorEastAsia"/>
          <w:b/>
          <w:bCs/>
          <w:color w:val="auto"/>
          <w:szCs w:val="21"/>
          <w:highlight w:val="none"/>
        </w:rPr>
        <w:t>配置要求</w:t>
      </w:r>
    </w:p>
    <w:p>
      <w:pPr>
        <w:pStyle w:val="16"/>
        <w:snapToGrid w:val="0"/>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（一）人员数量</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配置的总岗位数不得少于70个，最低服务人员数量不得少于70，实际在岗人数由投标人设置，并应不少于最低服务人员数量。投标人在配置人数时应充分考虑馆区开放的时间、观众人流量、管理难度。中标人组建的管理机构至少配置1名项目经理对本项目的服务实施综合管理，同时做好与采购人的沟通服务工作。广州市文化馆内设岗位将根据文化馆实际用工需求安排，并按实际上岗人数计费。</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★1.为保证本项目管理目标的实现，中标人必须按照国家有关规定依法用工。中标人派遣的物业管理服务人员人数最低不得少于70人。（提供承诺函，承诺函格式详见第六章 投标文件格式与要求  格式九）</w:t>
      </w:r>
    </w:p>
    <w:p>
      <w:pPr>
        <w:pStyle w:val="23"/>
        <w:spacing w:line="360" w:lineRule="auto"/>
        <w:ind w:firstLine="0" w:firstLineChars="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2.人员岗位具体要求：</w:t>
      </w:r>
    </w:p>
    <w:p>
      <w:pPr>
        <w:pStyle w:val="23"/>
        <w:spacing w:line="360" w:lineRule="auto"/>
        <w:ind w:firstLine="0" w:firstLineChars="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（1）项目经理：</w:t>
      </w:r>
      <w:r>
        <w:rPr>
          <w:rFonts w:hint="eastAsia" w:asciiTheme="minorEastAsia" w:hAnsiTheme="minorEastAsia" w:eastAsiaTheme="minorEastAsia" w:cstheme="minorEastAsia"/>
          <w:color w:val="auto"/>
          <w:sz w:val="21"/>
          <w:szCs w:val="21"/>
          <w:highlight w:val="none"/>
          <w:u w:val="single"/>
        </w:rPr>
        <w:t>1</w:t>
      </w:r>
      <w:r>
        <w:rPr>
          <w:rFonts w:hint="eastAsia" w:asciiTheme="minorEastAsia" w:hAnsiTheme="minorEastAsia" w:eastAsiaTheme="minorEastAsia" w:cstheme="minorEastAsia"/>
          <w:color w:val="auto"/>
          <w:sz w:val="21"/>
          <w:szCs w:val="21"/>
          <w:highlight w:val="none"/>
        </w:rPr>
        <w:t>名，有</w:t>
      </w:r>
      <w:r>
        <w:rPr>
          <w:rFonts w:hint="eastAsia" w:asciiTheme="minorEastAsia" w:hAnsiTheme="minorEastAsia" w:eastAsiaTheme="minorEastAsia" w:cstheme="minorEastAsia"/>
          <w:color w:val="auto"/>
          <w:sz w:val="21"/>
          <w:szCs w:val="21"/>
          <w:highlight w:val="none"/>
          <w:lang w:bidi="ar"/>
        </w:rPr>
        <w:t>不少于3年以上同类</w:t>
      </w:r>
      <w:r>
        <w:rPr>
          <w:rFonts w:hint="eastAsia" w:asciiTheme="minorEastAsia" w:hAnsiTheme="minorEastAsia" w:eastAsiaTheme="minorEastAsia" w:cstheme="minorEastAsia"/>
          <w:color w:val="auto"/>
          <w:sz w:val="21"/>
          <w:szCs w:val="21"/>
          <w:highlight w:val="none"/>
        </w:rPr>
        <w:t xml:space="preserve">项目经理（项目负责人）的工作经取得中级工程师或以上职称。 </w:t>
      </w:r>
    </w:p>
    <w:p>
      <w:pPr>
        <w:pStyle w:val="23"/>
        <w:spacing w:line="360" w:lineRule="auto"/>
        <w:ind w:firstLine="0" w:firstLineChars="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2）项目经理需全程跟踪管理本项目，对本项目的服务实施综合管理，同时做好与采购人的沟通服务工作。原则上项目经理不得随意更换（除离职、生病等不可抗力外），如确需更换应提前10个工作日书面通知采购人，征得采购人同意后方可更换，而且更换后的人员水平不得低于原人员。 </w:t>
      </w:r>
    </w:p>
    <w:p>
      <w:pPr>
        <w:numPr>
          <w:ilvl w:val="0"/>
          <w:numId w:val="1"/>
        </w:numPr>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各岗位人员配置要求</w:t>
      </w:r>
    </w:p>
    <w:tbl>
      <w:tblPr>
        <w:tblStyle w:val="11"/>
        <w:tblW w:w="4998" w:type="pct"/>
        <w:tblInd w:w="0" w:type="dxa"/>
        <w:tblLayout w:type="autofit"/>
        <w:tblCellMar>
          <w:top w:w="0" w:type="dxa"/>
          <w:left w:w="108" w:type="dxa"/>
          <w:bottom w:w="0" w:type="dxa"/>
          <w:right w:w="108" w:type="dxa"/>
        </w:tblCellMar>
      </w:tblPr>
      <w:tblGrid>
        <w:gridCol w:w="427"/>
        <w:gridCol w:w="1756"/>
        <w:gridCol w:w="1100"/>
        <w:gridCol w:w="1542"/>
        <w:gridCol w:w="3694"/>
      </w:tblGrid>
      <w:tr>
        <w:tblPrEx>
          <w:tblCellMar>
            <w:top w:w="0" w:type="dxa"/>
            <w:left w:w="108" w:type="dxa"/>
            <w:bottom w:w="0" w:type="dxa"/>
            <w:right w:w="108" w:type="dxa"/>
          </w:tblCellMar>
        </w:tblPrEx>
        <w:trPr>
          <w:trHeight w:val="106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lang w:bidi="ar"/>
              </w:rPr>
              <w:t>序号</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lang w:bidi="ar"/>
              </w:rPr>
              <w:t>岗位</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b/>
                <w:bCs/>
                <w:color w:val="auto"/>
                <w:sz w:val="22"/>
                <w:szCs w:val="22"/>
                <w:highlight w:val="none"/>
              </w:rPr>
            </w:pPr>
            <w:r>
              <w:rPr>
                <w:rFonts w:hint="eastAsia" w:ascii="宋体" w:hAnsi="宋体" w:cs="宋体"/>
                <w:b/>
                <w:bCs/>
                <w:color w:val="auto"/>
                <w:sz w:val="22"/>
                <w:szCs w:val="22"/>
                <w:highlight w:val="none"/>
                <w:lang w:bidi="ar"/>
              </w:rPr>
              <w:t>岗位人数</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b/>
                <w:bCs/>
                <w:color w:val="auto"/>
                <w:sz w:val="22"/>
                <w:szCs w:val="22"/>
                <w:highlight w:val="none"/>
              </w:rPr>
            </w:pPr>
            <w:r>
              <w:rPr>
                <w:rFonts w:hint="eastAsia" w:ascii="宋体" w:hAnsi="宋体" w:cs="宋体"/>
                <w:b/>
                <w:bCs/>
                <w:color w:val="auto"/>
                <w:sz w:val="22"/>
                <w:szCs w:val="22"/>
                <w:highlight w:val="none"/>
                <w:lang w:bidi="ar"/>
              </w:rPr>
              <w:t>岗位工作时长</w:t>
            </w:r>
          </w:p>
        </w:tc>
        <w:tc>
          <w:tcPr>
            <w:tcW w:w="286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lang w:bidi="ar"/>
              </w:rPr>
              <w:t>素质要求</w:t>
            </w:r>
          </w:p>
        </w:tc>
      </w:tr>
      <w:tr>
        <w:tblPrEx>
          <w:tblCellMar>
            <w:top w:w="0" w:type="dxa"/>
            <w:left w:w="108" w:type="dxa"/>
            <w:bottom w:w="0" w:type="dxa"/>
            <w:right w:w="108" w:type="dxa"/>
          </w:tblCellMar>
        </w:tblPrEx>
        <w:trPr>
          <w:trHeight w:val="583"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1</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项目经理</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1</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5天8小时</w:t>
            </w:r>
          </w:p>
        </w:tc>
        <w:tc>
          <w:tcPr>
            <w:tcW w:w="2863" w:type="pct"/>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 xml:space="preserve">1.岗位职责：配合文化馆辅助服务管理工作的组织与实施，同时做好与采购人的沟通服务工作； </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2.工作年限与经验：不少于3年以上同类项目经理（项目负责人）的工作经验；熟悉文秘工作，普通话和粤语流利，熟悉运用office办公软件；</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3.管理类专业，本科或以上学历，能满足本项目（日均客流量在3000人左右规模）所需应对各种紧急情况的能力和知识，能够迅速组织物管团队人员进行救援和救助。具有一定的医疗救护知识，能熟悉操作AED，能进行徒手心肺复苏，对意识不清、休克、窒息和中毒的伤员进行现场处理，能进行外伤止血处理。节假日等人流量大的时期，若发生踩踏或楼梯摔倒事件，能迅速组织疏导与救援。能正确使用便携式灭火器对初期火灾进行扑救，能及时切断电源、气源等危险源，能对可疑危险爆炸物品进行隔离等初步控制，能及时、准确报警。具备能引导和帮助遇险人员逃生的知识与技能等。具备各级行政主管部门颁发的应急救援员职业资格；具有档案局颁发的档案专业人员岗位培训证；具有普通话二乙级或以上资格；具备人社部门颁发的中级或以上职称证书的优先考虑。</w:t>
            </w:r>
          </w:p>
        </w:tc>
      </w:tr>
      <w:tr>
        <w:tblPrEx>
          <w:tblCellMar>
            <w:top w:w="0" w:type="dxa"/>
            <w:left w:w="108" w:type="dxa"/>
            <w:bottom w:w="0" w:type="dxa"/>
            <w:right w:w="108" w:type="dxa"/>
          </w:tblCellMar>
        </w:tblPrEx>
        <w:trPr>
          <w:trHeight w:val="106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2</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群文工作岗</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29</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5天8小时</w:t>
            </w:r>
          </w:p>
        </w:tc>
        <w:tc>
          <w:tcPr>
            <w:tcW w:w="2863" w:type="pct"/>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
              </w:numPr>
              <w:textAlignment w:val="center"/>
              <w:rPr>
                <w:rFonts w:hint="eastAsia" w:ascii="宋体" w:hAnsi="宋体" w:cs="宋体"/>
                <w:color w:val="auto"/>
                <w:sz w:val="22"/>
                <w:szCs w:val="22"/>
                <w:highlight w:val="none"/>
                <w:lang w:bidi="ar"/>
              </w:rPr>
            </w:pPr>
            <w:r>
              <w:rPr>
                <w:rFonts w:hint="eastAsia" w:ascii="宋体" w:hAnsi="宋体" w:cs="宋体"/>
                <w:color w:val="auto"/>
                <w:sz w:val="22"/>
                <w:szCs w:val="22"/>
                <w:highlight w:val="none"/>
                <w:lang w:bidi="ar"/>
              </w:rPr>
              <w:t>岗位职责：负责协助单位各项活动及业务开展；</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2.工作年限与经验：不少于3年以上相关工作经验；</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3.本科或以上学历；普通话和粤语流利，熟悉运用office办公软件。</w:t>
            </w:r>
          </w:p>
          <w:p>
            <w:pPr>
              <w:pStyle w:val="16"/>
              <w:spacing w:line="240" w:lineRule="auto"/>
              <w:jc w:val="both"/>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bidi="ar"/>
              </w:rPr>
              <w:t>★4.群文工作岗服务人员不少于29人（包含不少于2名持有各级行政主管部门颁发的应急救援员职业资格、不少于2 名持有人力资源管理师职业资格、不少于2名持有档案局颁发的档案专业人员岗位培训职业资格。）（提供承诺函，承诺函格式详见第六章 投标文件格式与要求  格式九）</w:t>
            </w:r>
          </w:p>
        </w:tc>
      </w:tr>
      <w:tr>
        <w:tblPrEx>
          <w:tblCellMar>
            <w:top w:w="0" w:type="dxa"/>
            <w:left w:w="108" w:type="dxa"/>
            <w:bottom w:w="0" w:type="dxa"/>
            <w:right w:w="108" w:type="dxa"/>
          </w:tblCellMar>
        </w:tblPrEx>
        <w:trPr>
          <w:trHeight w:val="106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3</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讲解员岗</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10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5天8小时</w:t>
            </w:r>
          </w:p>
        </w:tc>
        <w:tc>
          <w:tcPr>
            <w:tcW w:w="2863" w:type="pct"/>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cs="宋体"/>
                <w:color w:val="auto"/>
                <w:sz w:val="22"/>
                <w:szCs w:val="22"/>
                <w:highlight w:val="none"/>
                <w:lang w:bidi="ar"/>
              </w:rPr>
            </w:pPr>
            <w:r>
              <w:rPr>
                <w:rFonts w:hint="eastAsia" w:ascii="宋体" w:hAnsi="宋体" w:cs="宋体"/>
                <w:color w:val="auto"/>
                <w:sz w:val="22"/>
                <w:szCs w:val="22"/>
                <w:highlight w:val="none"/>
                <w:lang w:bidi="ar"/>
              </w:rPr>
              <w:t>1.岗位职责：（1）负责文化馆各类展览讲解接待及一线服务工作；（2）负责策划、实施文化馆面向社会公众的教育推广活动；（3）负责文化馆教育推广材料编写工作；（4）其他相关工作；</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2.工作年限与经验：具备不少于2年以上场馆、展厅讲解工作经验；</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3.具备播音主持类或艺术类专业，大学专科毕业或以上学历，原则上；年龄满足法定工作年龄，年龄在22-35岁之间，女讲解员身高 1.65 米或以上，男讲解员身高 1.75米或以上；五官端正，有亲和力，口才好；曾获取讲解类比赛荣誉等。</w:t>
            </w:r>
          </w:p>
          <w:p>
            <w:pPr>
              <w:textAlignment w:val="center"/>
              <w:rPr>
                <w:rFonts w:ascii="宋体" w:hAnsi="宋体" w:cs="宋体"/>
                <w:color w:val="auto"/>
                <w:sz w:val="22"/>
                <w:szCs w:val="22"/>
                <w:highlight w:val="none"/>
              </w:rPr>
            </w:pPr>
            <w:r>
              <w:rPr>
                <w:rFonts w:hint="eastAsia" w:asciiTheme="minorEastAsia" w:hAnsiTheme="minorEastAsia" w:eastAsiaTheme="minorEastAsia" w:cstheme="minorEastAsia"/>
                <w:i w:val="0"/>
                <w:iCs w:val="0"/>
                <w:color w:val="auto"/>
                <w:kern w:val="0"/>
                <w:sz w:val="21"/>
                <w:szCs w:val="21"/>
                <w:highlight w:val="none"/>
                <w:u w:val="none"/>
                <w:lang w:val="en-US" w:eastAsia="zh-CN"/>
              </w:rPr>
              <w:t>★</w:t>
            </w:r>
            <w:r>
              <w:rPr>
                <w:rFonts w:hint="eastAsia" w:ascii="宋体" w:hAnsi="宋体" w:cs="宋体"/>
                <w:color w:val="auto"/>
                <w:sz w:val="22"/>
                <w:szCs w:val="22"/>
                <w:highlight w:val="none"/>
                <w:lang w:val="en-US" w:eastAsia="zh-CN" w:bidi="ar"/>
              </w:rPr>
              <w:t>4.讲解员</w:t>
            </w:r>
            <w:r>
              <w:rPr>
                <w:rFonts w:hint="eastAsia" w:ascii="宋体" w:hAnsi="宋体" w:cs="宋体"/>
                <w:color w:val="auto"/>
                <w:sz w:val="22"/>
                <w:szCs w:val="22"/>
                <w:highlight w:val="none"/>
                <w:lang w:bidi="ar"/>
              </w:rPr>
              <w:t>岗</w:t>
            </w:r>
            <w:r>
              <w:rPr>
                <w:rFonts w:hint="eastAsia" w:asciiTheme="minorEastAsia" w:hAnsiTheme="minorEastAsia" w:eastAsiaTheme="minorEastAsia" w:cstheme="minorEastAsia"/>
                <w:i w:val="0"/>
                <w:iCs w:val="0"/>
                <w:color w:val="auto"/>
                <w:kern w:val="0"/>
                <w:sz w:val="21"/>
                <w:szCs w:val="21"/>
                <w:highlight w:val="none"/>
                <w:u w:val="none"/>
                <w:lang w:val="en-US" w:eastAsia="zh-CN"/>
              </w:rPr>
              <w:t>服务人员不少于10人（包含不少于</w:t>
            </w:r>
            <w:r>
              <w:rPr>
                <w:rFonts w:hint="eastAsia" w:ascii="宋体" w:hAnsi="宋体" w:cs="宋体" w:eastAsiaTheme="minorEastAsia"/>
                <w:color w:val="auto"/>
                <w:sz w:val="22"/>
                <w:szCs w:val="22"/>
                <w:highlight w:val="none"/>
                <w:u w:val="single"/>
                <w:lang w:val="en-US" w:eastAsia="zh-CN" w:bidi="ar"/>
              </w:rPr>
              <w:t>6</w:t>
            </w:r>
            <w:r>
              <w:rPr>
                <w:rFonts w:hint="eastAsia" w:ascii="宋体" w:hAnsi="宋体" w:cs="宋体"/>
                <w:color w:val="auto"/>
                <w:sz w:val="22"/>
                <w:szCs w:val="22"/>
                <w:highlight w:val="none"/>
                <w:lang w:bidi="ar"/>
              </w:rPr>
              <w:t>名具有普通话二乙级或以上资格</w:t>
            </w:r>
            <w:r>
              <w:rPr>
                <w:rFonts w:hint="eastAsia" w:ascii="宋体" w:hAnsi="宋体" w:cs="宋体"/>
                <w:color w:val="auto"/>
                <w:sz w:val="22"/>
                <w:szCs w:val="22"/>
                <w:highlight w:val="none"/>
                <w:lang w:eastAsia="zh-CN" w:bidi="ar"/>
              </w:rPr>
              <w:t>、</w:t>
            </w:r>
            <w:r>
              <w:rPr>
                <w:rFonts w:hint="eastAsia" w:ascii="宋体" w:hAnsi="宋体" w:cs="宋体"/>
                <w:color w:val="auto"/>
                <w:sz w:val="22"/>
                <w:szCs w:val="22"/>
                <w:highlight w:val="none"/>
                <w:lang w:bidi="ar"/>
              </w:rPr>
              <w:t>不少于</w:t>
            </w:r>
            <w:r>
              <w:rPr>
                <w:rFonts w:ascii="宋体" w:hAnsi="宋体" w:cs="宋体"/>
                <w:color w:val="auto"/>
                <w:sz w:val="22"/>
                <w:szCs w:val="22"/>
                <w:highlight w:val="none"/>
                <w:u w:val="single"/>
                <w:lang w:bidi="ar"/>
              </w:rPr>
              <w:t>3</w:t>
            </w:r>
            <w:r>
              <w:rPr>
                <w:rFonts w:hint="eastAsia" w:ascii="宋体" w:hAnsi="宋体" w:cs="宋体"/>
                <w:color w:val="auto"/>
                <w:sz w:val="22"/>
                <w:szCs w:val="22"/>
                <w:highlight w:val="none"/>
                <w:lang w:bidi="ar"/>
              </w:rPr>
              <w:t>名获得全国大学英语四级或以上的英语会话能力。</w:t>
            </w:r>
            <w:r>
              <w:rPr>
                <w:rFonts w:hint="eastAsia" w:ascii="宋体" w:hAnsi="宋体" w:eastAsia="宋体" w:cs="宋体"/>
                <w:color w:val="auto"/>
                <w:sz w:val="22"/>
                <w:szCs w:val="22"/>
                <w:highlight w:val="none"/>
                <w:lang w:val="en-US" w:eastAsia="zh-CN" w:bidi="ar"/>
              </w:rPr>
              <w:t>（提供承诺函，承诺函格式详见第六章 投标文件格式与要求  格式九）</w:t>
            </w:r>
          </w:p>
        </w:tc>
      </w:tr>
      <w:tr>
        <w:tblPrEx>
          <w:tblCellMar>
            <w:top w:w="0" w:type="dxa"/>
            <w:left w:w="108" w:type="dxa"/>
            <w:bottom w:w="0" w:type="dxa"/>
            <w:right w:w="108" w:type="dxa"/>
          </w:tblCellMar>
        </w:tblPrEx>
        <w:trPr>
          <w:trHeight w:val="106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4</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bidi="ar"/>
              </w:rPr>
              <w:t>开放服务岗</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27</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5天8小时</w:t>
            </w:r>
          </w:p>
        </w:tc>
        <w:tc>
          <w:tcPr>
            <w:tcW w:w="2863" w:type="pct"/>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1.岗位职责：负责场地协调及管理，日常巡查、熟悉管理业务；</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2.工作年限与经验：具备不少于2 年以上日常管理辅助工作经验；</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3.年龄满足法定工作年龄，年龄在45岁或以下，有良好的团队协作精神、服务意识以及较强的交流沟通能力与组织协调能力。责任心强。</w:t>
            </w:r>
          </w:p>
        </w:tc>
      </w:tr>
      <w:tr>
        <w:tblPrEx>
          <w:tblCellMar>
            <w:top w:w="0" w:type="dxa"/>
            <w:left w:w="108" w:type="dxa"/>
            <w:bottom w:w="0" w:type="dxa"/>
            <w:right w:w="108" w:type="dxa"/>
          </w:tblCellMar>
        </w:tblPrEx>
        <w:trPr>
          <w:trHeight w:val="106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5</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游客中心服务岗</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3</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5天8小时</w:t>
            </w:r>
          </w:p>
        </w:tc>
        <w:tc>
          <w:tcPr>
            <w:tcW w:w="2863" w:type="pct"/>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1.岗位职责：负责接听游客咨询电话、接待游客咨询服务，配合游客等相关业务；</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2.工作年限与经验：备不少于2 年以上服务接待岗的相关工作经验；</w:t>
            </w:r>
            <w:r>
              <w:rPr>
                <w:rFonts w:hint="eastAsia" w:ascii="宋体" w:hAnsi="宋体" w:cs="宋体"/>
                <w:color w:val="auto"/>
                <w:sz w:val="22"/>
                <w:szCs w:val="22"/>
                <w:highlight w:val="none"/>
                <w:lang w:bidi="ar"/>
              </w:rPr>
              <w:br w:type="textWrapping"/>
            </w:r>
            <w:r>
              <w:rPr>
                <w:rFonts w:hint="eastAsia" w:ascii="宋体" w:hAnsi="宋体" w:cs="宋体"/>
                <w:color w:val="auto"/>
                <w:sz w:val="22"/>
                <w:szCs w:val="22"/>
                <w:highlight w:val="none"/>
                <w:lang w:bidi="ar"/>
              </w:rPr>
              <w:t>3.年龄满足法定工作年龄，原则上3</w:t>
            </w:r>
            <w:r>
              <w:rPr>
                <w:rFonts w:ascii="宋体" w:hAnsi="宋体" w:cs="宋体"/>
                <w:color w:val="auto"/>
                <w:sz w:val="22"/>
                <w:szCs w:val="22"/>
                <w:highlight w:val="none"/>
                <w:lang w:bidi="ar"/>
              </w:rPr>
              <w:t>5</w:t>
            </w:r>
            <w:r>
              <w:rPr>
                <w:rFonts w:hint="eastAsia" w:ascii="宋体" w:hAnsi="宋体" w:cs="宋体"/>
                <w:color w:val="auto"/>
                <w:sz w:val="22"/>
                <w:szCs w:val="22"/>
                <w:highlight w:val="none"/>
                <w:lang w:bidi="ar"/>
              </w:rPr>
              <w:t xml:space="preserve">  岁内优先。</w:t>
            </w:r>
          </w:p>
        </w:tc>
      </w:tr>
      <w:tr>
        <w:tblPrEx>
          <w:tblCellMar>
            <w:top w:w="0" w:type="dxa"/>
            <w:left w:w="108" w:type="dxa"/>
            <w:bottom w:w="0" w:type="dxa"/>
            <w:right w:w="108" w:type="dxa"/>
          </w:tblCellMar>
        </w:tblPrEx>
        <w:trPr>
          <w:trHeight w:val="114"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highlight w:val="none"/>
              </w:rPr>
            </w:pP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人数合计</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color w:val="auto"/>
                <w:sz w:val="22"/>
                <w:szCs w:val="22"/>
                <w:highlight w:val="none"/>
              </w:rPr>
            </w:pPr>
            <w:r>
              <w:rPr>
                <w:rFonts w:hint="eastAsia" w:ascii="宋体" w:hAnsi="宋体" w:cs="宋体"/>
                <w:color w:val="auto"/>
                <w:sz w:val="22"/>
                <w:szCs w:val="22"/>
                <w:highlight w:val="none"/>
                <w:lang w:bidi="ar"/>
              </w:rPr>
              <w:t>70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highlight w:val="none"/>
              </w:rPr>
            </w:pPr>
          </w:p>
        </w:tc>
        <w:tc>
          <w:tcPr>
            <w:tcW w:w="2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highlight w:val="none"/>
              </w:rPr>
            </w:pPr>
          </w:p>
        </w:tc>
      </w:tr>
    </w:tbl>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szCs w:val="21"/>
          <w:highlight w:val="none"/>
        </w:rPr>
        <w:t>★</w:t>
      </w:r>
      <w:r>
        <w:rPr>
          <w:rFonts w:hint="eastAsia" w:asciiTheme="minorEastAsia" w:hAnsiTheme="minorEastAsia" w:eastAsiaTheme="minorEastAsia" w:cstheme="minorEastAsia"/>
          <w:b/>
          <w:bCs/>
          <w:color w:val="auto"/>
          <w:szCs w:val="21"/>
          <w:highlight w:val="none"/>
          <w:lang w:eastAsia="zh-CN"/>
        </w:rPr>
        <w:t>（</w:t>
      </w:r>
      <w:r>
        <w:rPr>
          <w:rFonts w:hint="eastAsia" w:asciiTheme="minorEastAsia" w:hAnsiTheme="minorEastAsia" w:eastAsiaTheme="minorEastAsia" w:cstheme="minorEastAsia"/>
          <w:b/>
          <w:bCs/>
          <w:color w:val="auto"/>
          <w:szCs w:val="21"/>
          <w:highlight w:val="none"/>
          <w:lang w:val="en-US" w:eastAsia="zh-CN"/>
        </w:rPr>
        <w:t>三</w:t>
      </w:r>
      <w:r>
        <w:rPr>
          <w:rFonts w:hint="eastAsia" w:asciiTheme="minorEastAsia" w:hAnsiTheme="minorEastAsia" w:eastAsiaTheme="minorEastAsia" w:cstheme="minorEastAsia"/>
          <w:b/>
          <w:bCs/>
          <w:color w:val="auto"/>
          <w:szCs w:val="21"/>
          <w:highlight w:val="none"/>
          <w:lang w:eastAsia="zh-CN"/>
        </w:rPr>
        <w:t>）</w:t>
      </w:r>
      <w:r>
        <w:rPr>
          <w:rFonts w:hint="eastAsia" w:asciiTheme="minorEastAsia" w:hAnsiTheme="minorEastAsia" w:eastAsiaTheme="minorEastAsia" w:cstheme="minorEastAsia"/>
          <w:b w:val="0"/>
          <w:bCs w:val="0"/>
          <w:color w:val="auto"/>
          <w:szCs w:val="21"/>
          <w:highlight w:val="none"/>
          <w:lang w:val="en-US" w:eastAsia="zh-CN"/>
        </w:rPr>
        <w:t>在本项目服务期内，采购人有权根据项目实际所需的服务内容及范围作出调整，若涉及上表人员（人数或岗位）有调整的，将提前30天以书面形式通知中标人，中标人应当无条件按照采购人的通知要求执行。（</w:t>
      </w:r>
      <w:r>
        <w:rPr>
          <w:rFonts w:hint="eastAsia" w:asciiTheme="minorEastAsia" w:hAnsiTheme="minorEastAsia" w:eastAsiaTheme="minorEastAsia" w:cstheme="minorEastAsia"/>
          <w:color w:val="auto"/>
          <w:szCs w:val="21"/>
          <w:highlight w:val="none"/>
        </w:rPr>
        <w:t>提供承诺函，承诺函格式详见第六章 投标文件格式与要求  格式九）</w:t>
      </w:r>
    </w:p>
    <w:p>
      <w:pPr>
        <w:pStyle w:val="16"/>
        <w:snapToGrid w:val="0"/>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四、管理要求</w:t>
      </w:r>
    </w:p>
    <w:p>
      <w:pPr>
        <w:pStyle w:val="18"/>
        <w:spacing w:line="360" w:lineRule="auto"/>
        <w:jc w:val="both"/>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（一）服务工作管理要求</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中标人应按采购人实际需要的数量、到岗时间及其他要求派遣符合条件的辅助岗位服务人员到采购人指定服务地点工作。派遣人员到岗前，中标人需向采购人提供辅助岗位服务人员正式到岗前1个月内的体检报告和社保缴费记录证明。</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2.中标人须按本项目要求提供具有相应证书及实际工作经验的辅助岗位服务人员。</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3.采购人有权审定中标人拟定的辅助岗位服务人员管理制度及实施方案；</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4.根据辅助岗位服务人员的实际工作表现，采购人有权提出更换不符合使用要求的辅助岗位服务人员，包括但不局限于: （1）试用不合格；（2）严重失职或严重违反纪律制度；（3）被追究刑事责任；（4）辅助岗位服务人员自身健康问题；（5）年度考核不合格；（6）不能胜任工作；（7）不服从工作安排；（8）岗位撤销等情况，中标人应无条件接受要求，并在5个工作日内予以更换；</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5.对辅助岗位服务人员的奖惩、请休假、撤换或辞退等须经采购人同意认可。如因辅助岗位服务人员的请休假、撤换或辞退造成辅助岗位服务人员人数的空缺，中标人须在5个工作日内予以补充；</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6.中标人对所录用人员要严格审查，保证录用人员没有劳动教养和刑事犯罪记录、无精神病史、无失信被执行人记录。</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中标人的辅助岗位服务人员应落实岗位责任制，严格按规范操作。因辅助岗位服务人员失职而造成采购人损失的，采购人有权要求中标人赔偿损失。对辅助岗位服务人员失职、违规或不服从指挥的，中标人应及时加以整改，整改情况在一周内书面报告采购人。当月辅助岗位服务人员发生下列违规情况的，采购人书面提出整改通知，每提出1次，向采购人支付合同总金额1‰的违约金，累计提出达3 次，视为违约，中标人向采购人支付合同总金额10%的违约金，采购人有权单方面终止合同，并由此造成采购人经济损失的，中标人应给予经济赔偿：</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（1）擅离职守、造成脱岗的；</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（2）上班时间闲聊、睡觉、串岗或做出与工作无关事情的；</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（3）滥用职权、为他人提供方便的；</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（4）工作懒散、态度恶劣被投诉的；</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（5）不听从采购人指挥违规操作的；</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（6）发现可能危及安全的问题没有及时处理也没有向采购人报告的。</w:t>
      </w:r>
    </w:p>
    <w:p>
      <w:pPr>
        <w:pStyle w:val="16"/>
        <w:spacing w:line="360" w:lineRule="auto"/>
        <w:jc w:val="both"/>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（二）内控管理要求</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中标人应按照《中华人民共和国劳动法》的相关规定发放工资，服务人员工资不得低于广州市企业职工最低工资标准（工资不含按国家规定供应商必须支付的社会保险及其他应付费用）。（提供承诺函，承诺函格式详见第六章 投标文件格式与要求  格式九）</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★2.中标人应按照《中华人民共和国社会保险法》和《住房公积金管理条例》的相关规定，支付国家规定必须购买的社会保险费用和缴存住房公积金。（提供承诺函，承诺函格式详见第六章 投标文件格式与要求  格式九）</w:t>
      </w:r>
    </w:p>
    <w:p>
      <w:pPr>
        <w:pStyle w:val="21"/>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中标人要遵守《劳动法》、《劳动合同法》等相关法律法规，保护服务人员的合法权益。服务人员每周正常工作不超过40小时。具体工作岗位和工作时间由采购人确定，中标人根据采购人要求制定服务人员工作方案。如每周工作时间超过40小时，超出部分算加班时间，加班工资的计算标准以《劳动法》规定的为准。</w:t>
      </w:r>
    </w:p>
    <w:p>
      <w:pPr>
        <w:pStyle w:val="21"/>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因国家政策或法律法规调整等不可抗拒原因造成采购人无法继续履行采购合同的情况，采购人不承担违约责任，中标人必须妥善做好服务人员的安置并承担因此产生的所有经济补偿费用。中标人不得追究采购人任何责任。（提供承诺函，承诺函格式详见第六章 投标文件格式与要求  格式九）</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5.中标人因各种问题与其下属员工产生的纠纷与采购人无关；服务人员在岗工作期间，发生的一切人身伤亡，均由中标人负责处理并承担经济和道义上的责任，采购人不承担责任。</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中标人在自主用工的同时，采取切实有效措施维护管理队伍的稳定，严格控制非违纪原因的人员轮换比例，合同期限内不超过30％，关键岗位人员流动率保持在10%左右，非项目经理的更换要提前三天通知采购人；非本市户口的人员应当主动接受当地公安机关居住证的办理和暂住人口的管理；离职工作人员严禁擅自进入场馆；做出的承诺须兑现，确保服务质量不因人员变动而受影响。</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7.根据采购人的管理要求及有关管理规定，中标人拟投入的服务人员应对场馆内的用电、用水、用冷等能源合理使用，杜绝浪费，严禁出现长明灯、长流水现象。</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8.服务人员不得在服务范围内口出秽言、酗酒、赌博及任何行为不检。倘若发现，采购人可要求该名雇员立即离开本区域。如因此而引起的损失，中标人须负责及承担雇员欠薪。</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9.中标人应处理好与拟派服务人员的劳资关系。若中标人故意拖欠工资，劳动局要求有关政府部门认可该追讨者，采购人可扣其有关费用以缴交劳动局或有关政府部门，并从中标人日常服务费用中扣除该款项。</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10.中标人应设立24小时联络直线电话，以便在接到任何投诉、查询及应急处理时能联络到项目经理，以便作应急反应及处理。</w:t>
      </w:r>
    </w:p>
    <w:p>
      <w:pPr>
        <w:pStyle w:val="16"/>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11.因中标人责任导致采购人名誉声誉受损时，中标人应积极采取赔礼道歉，恢复名誉、公开声明等方式维护采购人权益，若造成经济损失，中标人应进行合理的经济赔偿。</w:t>
      </w:r>
    </w:p>
    <w:p>
      <w:pPr>
        <w:pStyle w:val="16"/>
        <w:snapToGrid w:val="0"/>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五、其他要求</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采购人是国家设立的公益性文化事业单位，是广州群众文化活动的主力军，每年在馆内组织承办各种有特色有影响的文化活动，如艺术培训、展览及讲座，是广大群众提升艺术修养的重要场所。由于到采购人活动的人数众多，因此对活动场地使用的安全性、规范性要有要求，辅助性服务更要高标准、严要求。采购人优先选择具备社会责任管理体系认证的企业。</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2.采购人后勤管理部门对中标人组建的文化馆服务团队进行业务归口管理。</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3.中标人对文化馆的服务方案、组织架构、人员录用等建立的各项规章制度，在实施前要报告采购人，采购人有审核权，经采购人同意后才可实施。</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4.采购人对一些重要岗位的设置、人员录用与管理和一些重要的管理决策有直接参与权与审批权，采购人如认为有必要可查阅中标人有关本项目的财务状况及财务报表。</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5.在处理特殊事件和紧急、突发事故时，采购人对中标人公司的人员有直接指挥权。中标人对所录用人员要严格审查，保证录用人员没有刑事犯罪记录，持相应专业岗位资格证。</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6.采购人有权审定中标人提出的服务计划、财务预算及决策，对不合理的分配支出有权提出调整意见。</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7.采购人有权检查监督中标人管理工作的实施及制度的执行情况。</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8.中标人需制定针对该项目有可能发生的突发事件的应急服务预案。</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9.中标人有完整的培训体系，具备专业的讲解师资力量，制定针对该项目日常培训管理方案，方案内容包括：人员招聘管理、岗前培训等要求。</w:t>
      </w:r>
    </w:p>
    <w:p>
      <w:pPr>
        <w:pStyle w:val="21"/>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10.保密规定：中标供应商应当对涉及采购人的信息严格保密，未经采购人许可，不得将信息泄露给第三方。否则，采购人保留追究中标供应商法律责任的权利。</w:t>
      </w:r>
    </w:p>
    <w:p>
      <w:pPr>
        <w:pStyle w:val="21"/>
        <w:spacing w:line="360" w:lineRule="auto"/>
        <w:jc w:val="both"/>
        <w:rPr>
          <w:color w:val="auto"/>
          <w:highlight w:val="none"/>
        </w:rPr>
      </w:pPr>
      <w:r>
        <w:rPr>
          <w:rFonts w:hint="eastAsia" w:asciiTheme="minorEastAsia" w:hAnsiTheme="minorEastAsia" w:eastAsiaTheme="minorEastAsia" w:cstheme="minorEastAsia"/>
          <w:color w:val="auto"/>
          <w:szCs w:val="21"/>
          <w:highlight w:val="none"/>
        </w:rPr>
        <w:t>★11.中标供应商必须为本项目办理财产一切险和公共责任险，以确保来场人员人身安全、及场地财产的安全，所需费用由中标供应商负责。（提供承诺函，承诺函格式详见第六章 投标文件格式与要求  格式九）</w:t>
      </w:r>
    </w:p>
    <w:p>
      <w:pPr>
        <w:pStyle w:val="18"/>
        <w:spacing w:line="360" w:lineRule="auto"/>
        <w:jc w:val="both"/>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六、综合管理</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1.中标人需达到省特级机关档案综合管理单位标准，具有健全的内部管理制度，包括：内部部门管理制度、安全保障制度、财务管理制度、档案管理制度、内部审计制度等。</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2.中标人应具有执行本项目的人事管理信息化服务系统，包括人员基本信息管理、劳动关系管理、考核培训管理、薪酬管理、考勤管理，为员工提供查询工资信息、社保、公积金相关信息服务的能力等模块。</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中标人党组织机构健全，在服务过程中充分发挥党员的先锋模范带头作用，在服务过程中，积极开展多种类型的党建活动（如党员志愿者活动、党员主题教育实践活动等），对项目日常管理服务产生有利推动和促进作用。中标人能够积极与当地政府开展共建、共治、共享工作，与政府部门建立良好的关系。</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中标人建立了工会组织，保障员工权益福利。发挥工会组织的领导作用，维护辅助岗位服务人员依法享有的正当权益，依法独立自主地开展工会工作，负责组织辅助岗位服务人员加入中标人工会组织，定期开展形式多样的工会活动（如文体活动、生日会等），做好对患病等困难人员的探访和慰问等工作。</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5.中标人应配合采购人做好常态化下的公共卫生防控工作，负责广州市文化馆服务人员和游客公共卫生防控工作管理。</w:t>
      </w:r>
    </w:p>
    <w:p>
      <w:pPr>
        <w:pStyle w:val="18"/>
        <w:spacing w:line="360" w:lineRule="auto"/>
        <w:jc w:val="both"/>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七、公共卫生防控管理</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中标人应严格执行《突发公共卫生事件应急条例》等文件的要求，联合采购人或采购人下属分管部门成立公共卫生应急工作领导小组，制定突发公共卫生事件、防疫等相应防控措施和应急预案，在突发公共卫生事件及疫情发生时，负责做好组织、指挥、协调和服务保障工作，及时向有关部门汇报相关情况。相关管控措施符合DB44/T 1048规范的要求。</w:t>
      </w:r>
    </w:p>
    <w:p>
      <w:pPr>
        <w:pStyle w:val="18"/>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制定进入物业管理服务区域或范围内特定区域的人员管控措施方案，做好人员进出登记、管理工作。3.按防控措施针对性做好公共区域等场所的卫生消杀工作，环境及物品以清洁为主、预防性消毒为辅。出现受污染情况时及时进行清洁消毒。（4）及时跟进所在地区的防疫政策，根据政策变化调配人手响应相关要求。</w:t>
      </w:r>
    </w:p>
    <w:p>
      <w:pPr>
        <w:pStyle w:val="22"/>
        <w:adjustRightInd w:val="0"/>
        <w:snapToGrid w:val="0"/>
        <w:spacing w:line="360" w:lineRule="auto"/>
        <w:rPr>
          <w:rFonts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 xml:space="preserve">八、合同提前终止情形 </w:t>
      </w:r>
    </w:p>
    <w:p>
      <w:pPr>
        <w:pStyle w:val="22"/>
        <w:adjustRightInd w:val="0"/>
        <w:snapToGrid w:val="0"/>
        <w:spacing w:line="360" w:lineRule="auto"/>
        <w:ind w:firstLine="420" w:firstLineChars="20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本项目中标人在服务期限内有下列情形之一的，采购人有单方面提前终止合同的权利，并以书面通知送达为准：</w:t>
      </w:r>
    </w:p>
    <w:p>
      <w:pPr>
        <w:pStyle w:val="22"/>
        <w:adjustRightInd w:val="0"/>
        <w:snapToGrid w:val="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（一）出现欠薪或严重违约等行为，无法提供合理的解释及有效的整改措施的；</w:t>
      </w:r>
    </w:p>
    <w:p>
      <w:pPr>
        <w:pStyle w:val="22"/>
        <w:adjustRightInd w:val="0"/>
        <w:snapToGrid w:val="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（二）因中标人管理、服务疏忽或不当而发生重大事故或重大刑事、治安案件或对采购人产生重大负面影响的；</w:t>
      </w:r>
    </w:p>
    <w:p>
      <w:pPr>
        <w:pStyle w:val="22"/>
        <w:adjustRightInd w:val="0"/>
        <w:snapToGrid w:val="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（三）出现法律法规禁止以及其他严重违反服务合同的情形的。 </w:t>
      </w:r>
    </w:p>
    <w:p>
      <w:pPr>
        <w:pStyle w:val="22"/>
        <w:adjustRightInd w:val="0"/>
        <w:snapToGrid w:val="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bCs/>
          <w:color w:val="auto"/>
          <w:sz w:val="21"/>
          <w:szCs w:val="21"/>
          <w:highlight w:val="none"/>
        </w:rPr>
        <w:t>九、履约验收考核及要求</w:t>
      </w:r>
    </w:p>
    <w:p>
      <w:pPr>
        <w:pStyle w:val="22"/>
        <w:adjustRightInd w:val="0"/>
        <w:snapToGrid w:val="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1.履约验收标准：采用月度服务质量考评的方式实施验收，合同服务期间，采购人按照“考核表一”作为服务质量考核验收标准，定期开展月度物业服务质量考评。</w:t>
      </w:r>
    </w:p>
    <w:p>
      <w:pPr>
        <w:pStyle w:val="22"/>
        <w:adjustRightInd w:val="0"/>
        <w:snapToGrid w:val="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2.月度考核标准：考核分数达到</w:t>
      </w:r>
      <w:r>
        <w:rPr>
          <w:rFonts w:hint="eastAsia" w:asciiTheme="minorEastAsia" w:hAnsiTheme="minorEastAsia" w:eastAsiaTheme="minorEastAsia" w:cstheme="minorEastAsia"/>
          <w:color w:val="auto"/>
          <w:sz w:val="21"/>
          <w:szCs w:val="21"/>
          <w:highlight w:val="none"/>
          <w:lang w:val="en-US" w:eastAsia="zh-CN"/>
        </w:rPr>
        <w:t>80</w:t>
      </w:r>
      <w:r>
        <w:rPr>
          <w:rFonts w:hint="eastAsia" w:asciiTheme="minorEastAsia" w:hAnsiTheme="minorEastAsia" w:eastAsiaTheme="minorEastAsia" w:cstheme="minorEastAsia"/>
          <w:color w:val="auto"/>
          <w:sz w:val="21"/>
          <w:szCs w:val="21"/>
          <w:highlight w:val="none"/>
        </w:rPr>
        <w:t>分或以上的，视为考核结果“合格”；考核分数达到</w:t>
      </w:r>
      <w:r>
        <w:rPr>
          <w:rFonts w:hint="eastAsia" w:asciiTheme="minorEastAsia" w:hAnsiTheme="minorEastAsia" w:eastAsiaTheme="minorEastAsia" w:cstheme="minorEastAsia"/>
          <w:color w:val="auto"/>
          <w:sz w:val="21"/>
          <w:szCs w:val="21"/>
          <w:highlight w:val="none"/>
          <w:u w:val="single"/>
        </w:rPr>
        <w:t>60</w:t>
      </w:r>
      <w:r>
        <w:rPr>
          <w:rFonts w:hint="eastAsia" w:asciiTheme="minorEastAsia" w:hAnsiTheme="minorEastAsia" w:eastAsiaTheme="minorEastAsia" w:cstheme="minorEastAsia"/>
          <w:color w:val="auto"/>
          <w:sz w:val="21"/>
          <w:szCs w:val="21"/>
          <w:highlight w:val="none"/>
        </w:rPr>
        <w:t>分或以上未达</w:t>
      </w:r>
      <w:r>
        <w:rPr>
          <w:rFonts w:hint="eastAsia" w:asciiTheme="minorEastAsia" w:hAnsiTheme="minorEastAsia" w:eastAsiaTheme="minorEastAsia" w:cstheme="minorEastAsia"/>
          <w:color w:val="auto"/>
          <w:sz w:val="21"/>
          <w:szCs w:val="21"/>
          <w:highlight w:val="none"/>
          <w:u w:val="single"/>
        </w:rPr>
        <w:t>79</w:t>
      </w:r>
      <w:r>
        <w:rPr>
          <w:rFonts w:hint="eastAsia" w:asciiTheme="minorEastAsia" w:hAnsiTheme="minorEastAsia" w:eastAsiaTheme="minorEastAsia" w:cstheme="minorEastAsia"/>
          <w:color w:val="auto"/>
          <w:sz w:val="21"/>
          <w:szCs w:val="21"/>
          <w:highlight w:val="none"/>
        </w:rPr>
        <w:t>分的，视为考核结果“基本合格”；考核分数60分以下的或考核分数未达到“不合格”的，或一个年度内出现3次“基本合格”，视为考核结果“不合格”，采购人将根据合同约定解除合同。出现其他违法违规情形的，将按规定上报相关主管部门处理。</w:t>
      </w:r>
    </w:p>
    <w:p>
      <w:pPr>
        <w:pStyle w:val="22"/>
        <w:adjustRightInd w:val="0"/>
        <w:snapToGrid w:val="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3.根据采购人提出的月度考核标准实施考核。（本部分考核表详见表一）</w:t>
      </w:r>
    </w:p>
    <w:p>
      <w:pPr>
        <w:pStyle w:val="22"/>
        <w:spacing w:line="360" w:lineRule="auto"/>
        <w:jc w:val="center"/>
        <w:rPr>
          <w:rFonts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表一：</w:t>
      </w:r>
      <w:r>
        <w:rPr>
          <w:rFonts w:hint="eastAsia" w:asciiTheme="minorEastAsia" w:hAnsiTheme="minorEastAsia" w:eastAsiaTheme="minorEastAsia" w:cstheme="minorEastAsia"/>
          <w:b/>
          <w:bCs/>
          <w:color w:val="auto"/>
          <w:sz w:val="21"/>
          <w:szCs w:val="21"/>
          <w:highlight w:val="none"/>
          <w:lang w:eastAsia="zh-CN"/>
        </w:rPr>
        <w:t>（</w:t>
      </w:r>
      <w:r>
        <w:rPr>
          <w:rFonts w:hint="eastAsia" w:asciiTheme="minorEastAsia" w:hAnsiTheme="minorEastAsia" w:eastAsiaTheme="minorEastAsia" w:cstheme="minorEastAsia"/>
          <w:b/>
          <w:bCs/>
          <w:color w:val="auto"/>
          <w:sz w:val="21"/>
          <w:szCs w:val="21"/>
          <w:highlight w:val="none"/>
          <w:lang w:val="en-US" w:eastAsia="zh-CN"/>
        </w:rPr>
        <w:t>月度</w:t>
      </w:r>
      <w:r>
        <w:rPr>
          <w:rFonts w:hint="eastAsia" w:asciiTheme="minorEastAsia" w:hAnsiTheme="minorEastAsia" w:eastAsiaTheme="minorEastAsia" w:cstheme="minorEastAsia"/>
          <w:b/>
          <w:bCs/>
          <w:color w:val="auto"/>
          <w:sz w:val="21"/>
          <w:szCs w:val="21"/>
          <w:highlight w:val="none"/>
          <w:lang w:eastAsia="zh-CN"/>
        </w:rPr>
        <w:t>）</w:t>
      </w:r>
      <w:r>
        <w:rPr>
          <w:rFonts w:hint="eastAsia" w:asciiTheme="minorEastAsia" w:hAnsiTheme="minorEastAsia" w:eastAsiaTheme="minorEastAsia" w:cstheme="minorEastAsia"/>
          <w:b/>
          <w:bCs/>
          <w:color w:val="auto"/>
          <w:sz w:val="21"/>
          <w:szCs w:val="21"/>
          <w:highlight w:val="none"/>
        </w:rPr>
        <w:t>履约验收考核表</w:t>
      </w:r>
    </w:p>
    <w:tbl>
      <w:tblPr>
        <w:tblStyle w:val="11"/>
        <w:tblW w:w="461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5"/>
        <w:gridCol w:w="3130"/>
        <w:gridCol w:w="1157"/>
        <w:gridCol w:w="795"/>
        <w:gridCol w:w="988"/>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restart"/>
            <w:vAlign w:val="center"/>
          </w:tcPr>
          <w:p>
            <w:pPr>
              <w:pStyle w:val="22"/>
              <w:adjustRightInd w:val="0"/>
              <w:snapToGrid w:val="0"/>
              <w:spacing w:line="360" w:lineRule="auto"/>
              <w:jc w:val="center"/>
              <w:textAlignment w:val="center"/>
              <w:rPr>
                <w:rFonts w:asciiTheme="minorEastAsia" w:hAnsiTheme="minorEastAsia" w:eastAsiaTheme="minorEastAsia" w:cstheme="minorEastAsia"/>
                <w:b/>
                <w:bCs/>
                <w:snapToGrid w:val="0"/>
                <w:color w:val="auto"/>
                <w:sz w:val="21"/>
                <w:szCs w:val="21"/>
                <w:highlight w:val="none"/>
              </w:rPr>
            </w:pPr>
            <w:r>
              <w:rPr>
                <w:rFonts w:hint="eastAsia" w:asciiTheme="minorEastAsia" w:hAnsiTheme="minorEastAsia" w:eastAsiaTheme="minorEastAsia" w:cstheme="minorEastAsia"/>
                <w:b/>
                <w:bCs/>
                <w:snapToGrid w:val="0"/>
                <w:color w:val="auto"/>
                <w:sz w:val="21"/>
                <w:szCs w:val="21"/>
                <w:highlight w:val="none"/>
              </w:rPr>
              <w:t>类别</w:t>
            </w:r>
          </w:p>
        </w:tc>
        <w:tc>
          <w:tcPr>
            <w:tcW w:w="1989" w:type="pct"/>
            <w:vMerge w:val="restart"/>
            <w:vAlign w:val="center"/>
          </w:tcPr>
          <w:p>
            <w:pPr>
              <w:pStyle w:val="22"/>
              <w:adjustRightInd w:val="0"/>
              <w:snapToGrid w:val="0"/>
              <w:spacing w:line="360" w:lineRule="auto"/>
              <w:jc w:val="center"/>
              <w:textAlignment w:val="center"/>
              <w:rPr>
                <w:rFonts w:asciiTheme="minorEastAsia" w:hAnsiTheme="minorEastAsia" w:eastAsiaTheme="minorEastAsia" w:cstheme="minorEastAsia"/>
                <w:b/>
                <w:bCs/>
                <w:snapToGrid w:val="0"/>
                <w:color w:val="auto"/>
                <w:sz w:val="21"/>
                <w:szCs w:val="21"/>
                <w:highlight w:val="none"/>
              </w:rPr>
            </w:pPr>
            <w:r>
              <w:rPr>
                <w:rFonts w:hint="eastAsia" w:asciiTheme="minorEastAsia" w:hAnsiTheme="minorEastAsia" w:eastAsiaTheme="minorEastAsia" w:cstheme="minorEastAsia"/>
                <w:b/>
                <w:bCs/>
                <w:snapToGrid w:val="0"/>
                <w:color w:val="auto"/>
                <w:sz w:val="21"/>
                <w:szCs w:val="21"/>
                <w:highlight w:val="none"/>
              </w:rPr>
              <w:t>考核内容</w:t>
            </w:r>
          </w:p>
        </w:tc>
        <w:tc>
          <w:tcPr>
            <w:tcW w:w="1868" w:type="pct"/>
            <w:gridSpan w:val="3"/>
            <w:vAlign w:val="center"/>
          </w:tcPr>
          <w:p>
            <w:pPr>
              <w:pStyle w:val="22"/>
              <w:adjustRightInd w:val="0"/>
              <w:snapToGrid w:val="0"/>
              <w:spacing w:line="360" w:lineRule="auto"/>
              <w:jc w:val="center"/>
              <w:textAlignment w:val="center"/>
              <w:rPr>
                <w:rFonts w:hint="eastAsia" w:asciiTheme="minorEastAsia" w:hAnsiTheme="minorEastAsia" w:eastAsiaTheme="minorEastAsia" w:cstheme="minorEastAsia"/>
                <w:b/>
                <w:bCs/>
                <w:snapToGrid w:val="0"/>
                <w:color w:val="auto"/>
                <w:sz w:val="21"/>
                <w:szCs w:val="21"/>
                <w:highlight w:val="none"/>
              </w:rPr>
            </w:pPr>
            <w:r>
              <w:rPr>
                <w:rFonts w:hint="eastAsia" w:asciiTheme="minorEastAsia" w:hAnsiTheme="minorEastAsia" w:eastAsiaTheme="minorEastAsia" w:cstheme="minorEastAsia"/>
                <w:b/>
                <w:bCs/>
                <w:snapToGrid w:val="0"/>
                <w:color w:val="auto"/>
                <w:sz w:val="21"/>
                <w:szCs w:val="21"/>
                <w:highlight w:val="none"/>
              </w:rPr>
              <w:t>检查情况</w:t>
            </w:r>
          </w:p>
        </w:tc>
        <w:tc>
          <w:tcPr>
            <w:tcW w:w="477" w:type="pct"/>
            <w:vMerge w:val="restart"/>
            <w:vAlign w:val="center"/>
          </w:tcPr>
          <w:p>
            <w:pPr>
              <w:pStyle w:val="22"/>
              <w:adjustRightInd w:val="0"/>
              <w:snapToGrid w:val="0"/>
              <w:spacing w:line="360" w:lineRule="auto"/>
              <w:jc w:val="center"/>
              <w:textAlignment w:val="center"/>
              <w:rPr>
                <w:rFonts w:hint="eastAsia" w:asciiTheme="minorEastAsia" w:hAnsiTheme="minorEastAsia" w:eastAsiaTheme="minorEastAsia" w:cstheme="minorEastAsia"/>
                <w:b/>
                <w:bCs/>
                <w:snapToGrid w:val="0"/>
                <w:color w:val="auto"/>
                <w:sz w:val="21"/>
                <w:szCs w:val="21"/>
                <w:highlight w:val="none"/>
                <w:lang w:eastAsia="zh-CN"/>
              </w:rPr>
            </w:pPr>
            <w:r>
              <w:rPr>
                <w:rFonts w:hint="eastAsia" w:asciiTheme="minorEastAsia" w:hAnsiTheme="minorEastAsia" w:eastAsiaTheme="minorEastAsia" w:cstheme="minorEastAsia"/>
                <w:b/>
                <w:bCs/>
                <w:snapToGrid w:val="0"/>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pStyle w:val="22"/>
              <w:adjustRightInd w:val="0"/>
              <w:snapToGrid w:val="0"/>
              <w:spacing w:line="360" w:lineRule="auto"/>
              <w:jc w:val="center"/>
              <w:rPr>
                <w:rFonts w:asciiTheme="minorEastAsia" w:hAnsiTheme="minorEastAsia" w:eastAsiaTheme="minorEastAsia" w:cstheme="minorEastAsia"/>
                <w:snapToGrid w:val="0"/>
                <w:color w:val="auto"/>
                <w:sz w:val="21"/>
                <w:szCs w:val="21"/>
                <w:highlight w:val="none"/>
              </w:rPr>
            </w:pPr>
          </w:p>
        </w:tc>
        <w:tc>
          <w:tcPr>
            <w:tcW w:w="1989" w:type="pct"/>
            <w:vMerge w:val="continue"/>
            <w:vAlign w:val="center"/>
          </w:tcPr>
          <w:p>
            <w:pPr>
              <w:pStyle w:val="22"/>
              <w:adjustRightInd w:val="0"/>
              <w:snapToGrid w:val="0"/>
              <w:spacing w:line="360" w:lineRule="auto"/>
              <w:jc w:val="center"/>
              <w:rPr>
                <w:rFonts w:asciiTheme="minorEastAsia" w:hAnsiTheme="minorEastAsia" w:eastAsiaTheme="minorEastAsia" w:cstheme="minorEastAsia"/>
                <w:snapToGrid w:val="0"/>
                <w:color w:val="auto"/>
                <w:sz w:val="21"/>
                <w:szCs w:val="21"/>
                <w:highlight w:val="none"/>
              </w:rPr>
            </w:pPr>
          </w:p>
        </w:tc>
        <w:tc>
          <w:tcPr>
            <w:tcW w:w="735" w:type="pct"/>
            <w:vAlign w:val="center"/>
          </w:tcPr>
          <w:p>
            <w:pPr>
              <w:pStyle w:val="22"/>
              <w:adjustRightInd w:val="0"/>
              <w:snapToGrid w:val="0"/>
              <w:spacing w:line="360" w:lineRule="auto"/>
              <w:jc w:val="center"/>
              <w:textAlignment w:val="center"/>
              <w:rPr>
                <w:rFonts w:asciiTheme="minorEastAsia" w:hAnsiTheme="minorEastAsia" w:eastAsiaTheme="minorEastAsia" w:cstheme="minorEastAsia"/>
                <w:b/>
                <w:bCs/>
                <w:snapToGrid w:val="0"/>
                <w:color w:val="auto"/>
                <w:sz w:val="21"/>
                <w:szCs w:val="21"/>
                <w:highlight w:val="none"/>
              </w:rPr>
            </w:pPr>
            <w:r>
              <w:rPr>
                <w:rFonts w:hint="eastAsia" w:asciiTheme="minorEastAsia" w:hAnsiTheme="minorEastAsia" w:eastAsiaTheme="minorEastAsia" w:cstheme="minorEastAsia"/>
                <w:b/>
                <w:bCs/>
                <w:snapToGrid w:val="0"/>
                <w:color w:val="auto"/>
                <w:sz w:val="21"/>
                <w:szCs w:val="21"/>
                <w:highlight w:val="none"/>
              </w:rPr>
              <w:t>分值</w:t>
            </w:r>
          </w:p>
        </w:tc>
        <w:tc>
          <w:tcPr>
            <w:tcW w:w="505" w:type="pct"/>
            <w:vAlign w:val="center"/>
          </w:tcPr>
          <w:p>
            <w:pPr>
              <w:pStyle w:val="22"/>
              <w:adjustRightInd w:val="0"/>
              <w:snapToGrid w:val="0"/>
              <w:spacing w:line="360" w:lineRule="auto"/>
              <w:jc w:val="center"/>
              <w:textAlignment w:val="center"/>
              <w:rPr>
                <w:rFonts w:asciiTheme="minorEastAsia" w:hAnsiTheme="minorEastAsia" w:eastAsiaTheme="minorEastAsia" w:cstheme="minorEastAsia"/>
                <w:b/>
                <w:bCs/>
                <w:snapToGrid w:val="0"/>
                <w:color w:val="auto"/>
                <w:sz w:val="21"/>
                <w:szCs w:val="21"/>
                <w:highlight w:val="none"/>
              </w:rPr>
            </w:pPr>
            <w:r>
              <w:rPr>
                <w:rFonts w:hint="eastAsia" w:asciiTheme="minorEastAsia" w:hAnsiTheme="minorEastAsia" w:eastAsiaTheme="minorEastAsia" w:cstheme="minorEastAsia"/>
                <w:b/>
                <w:bCs/>
                <w:snapToGrid w:val="0"/>
                <w:color w:val="auto"/>
                <w:sz w:val="21"/>
                <w:szCs w:val="21"/>
                <w:highlight w:val="none"/>
              </w:rPr>
              <w:t>发现问题</w:t>
            </w:r>
          </w:p>
        </w:tc>
        <w:tc>
          <w:tcPr>
            <w:tcW w:w="628" w:type="pct"/>
            <w:vAlign w:val="center"/>
          </w:tcPr>
          <w:p>
            <w:pPr>
              <w:pStyle w:val="22"/>
              <w:adjustRightInd w:val="0"/>
              <w:snapToGrid w:val="0"/>
              <w:spacing w:line="360" w:lineRule="auto"/>
              <w:jc w:val="center"/>
              <w:textAlignment w:val="center"/>
              <w:rPr>
                <w:rFonts w:asciiTheme="minorEastAsia" w:hAnsiTheme="minorEastAsia" w:eastAsiaTheme="minorEastAsia" w:cstheme="minorEastAsia"/>
                <w:b/>
                <w:bCs/>
                <w:snapToGrid w:val="0"/>
                <w:color w:val="auto"/>
                <w:sz w:val="21"/>
                <w:szCs w:val="21"/>
                <w:highlight w:val="none"/>
              </w:rPr>
            </w:pPr>
            <w:r>
              <w:rPr>
                <w:rFonts w:hint="eastAsia" w:asciiTheme="minorEastAsia" w:hAnsiTheme="minorEastAsia" w:eastAsiaTheme="minorEastAsia" w:cstheme="minorEastAsia"/>
                <w:b/>
                <w:bCs/>
                <w:snapToGrid w:val="0"/>
                <w:color w:val="auto"/>
                <w:sz w:val="21"/>
                <w:szCs w:val="21"/>
                <w:highlight w:val="none"/>
              </w:rPr>
              <w:t>考核情况</w:t>
            </w:r>
          </w:p>
        </w:tc>
        <w:tc>
          <w:tcPr>
            <w:tcW w:w="477" w:type="pct"/>
            <w:vMerge w:val="continue"/>
            <w:vAlign w:val="center"/>
          </w:tcPr>
          <w:p>
            <w:pPr>
              <w:pStyle w:val="22"/>
              <w:adjustRightInd w:val="0"/>
              <w:snapToGrid w:val="0"/>
              <w:spacing w:line="360" w:lineRule="auto"/>
              <w:jc w:val="center"/>
              <w:textAlignment w:val="center"/>
              <w:rPr>
                <w:rFonts w:hint="eastAsia" w:asciiTheme="minorEastAsia" w:hAnsiTheme="minorEastAsia" w:eastAsiaTheme="minorEastAsia" w:cstheme="minorEastAsia"/>
                <w:b/>
                <w:bCs/>
                <w:snapToGrid w:val="0"/>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restar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人员配 </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置情况</w:t>
            </w: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按合同中标方提供中标岗位的到岗位情况及劳动合同备案。</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3</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按招标需求要求辅助性管理人员的学历要求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3</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restar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综合管理</w:t>
            </w: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按规范要求穿着工服和佩戴工牌，做到仪容整洁、精神饱满</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突发状况 10 分钟以内响应，并辅助解决。</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工作区域干净整洁，文件档案完整无误。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4</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严格遵守本馆其他规章制度。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做好消防和安全工作，无消防隐患，无安全生产事故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6</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服务部门满意率不低于90%</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restar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合同改 </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造法规 </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审核 </w:t>
            </w: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按国家有关法规要求与聘用人员购买的社保及公积金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4</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人员加班累计时间超过国家法定要求及加班费用无法落实的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6</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离职人员出现薪资及劳动补偿纠纷情况</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人员变 </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动情况 </w:t>
            </w: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人员变动率不超过 10%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4</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64" w:type="pct"/>
            <w:vMerge w:val="restar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人事管理</w:t>
            </w: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执行国家有关劳动保护法规，按时按标发放劳动工资、缴纳社保。具有科学公平的人事管理制度，并规范执行相关制度，有效激励、考核标准明确、奖惩分明。</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6</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全部员工实行合同化管理。招录人员做好政审工作、妥善处理各种劳动关系纠纷。</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6</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人事部在人员管理（员工培训、奖惩、队伍建设、劳动工资、劳保福利）等事项中按制度实施，流程完整。</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64" w:type="pct"/>
            <w:vMerge w:val="restar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讲解服务</w:t>
            </w: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讲解装备配备应当齐全有效，讲解员能熟练、恰当使用。</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4</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有讲解接待任务，讲解员需按要求提前准备好讲解器等设备，着装、妆容得体。</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4</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对文化馆分配其他的工作按时、按质、按量完成。</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服从工作安排，业务熟练、无差错。</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保持良好的工作形象，优雅的礼仪， 做到有问必答，指引有道。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5</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工作时间内无空岗。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2</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64" w:type="pct"/>
            <w:vMerge w:val="restar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游客中心服务</w:t>
            </w: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 xml:space="preserve">保持良好的工作形象，优雅的礼仪，做到有问必答，指引有道。 </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1</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64" w:type="pct"/>
            <w:vMerge w:val="continue"/>
            <w:vAlign w:val="center"/>
          </w:tcPr>
          <w:p>
            <w:pPr>
              <w:spacing w:line="360" w:lineRule="auto"/>
              <w:rPr>
                <w:rFonts w:asciiTheme="minorEastAsia" w:hAnsiTheme="minorEastAsia" w:eastAsiaTheme="minorEastAsia" w:cstheme="minorEastAsia"/>
                <w:color w:val="auto"/>
                <w:szCs w:val="21"/>
                <w:highlight w:val="none"/>
                <w:lang w:bidi="ar"/>
              </w:rPr>
            </w:pPr>
          </w:p>
        </w:tc>
        <w:tc>
          <w:tcPr>
            <w:tcW w:w="1989" w:type="pct"/>
            <w:vAlign w:val="center"/>
          </w:tcPr>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专业回复游客咨询，做到礼貌待人。</w:t>
            </w:r>
          </w:p>
        </w:tc>
        <w:tc>
          <w:tcPr>
            <w:tcW w:w="735" w:type="pct"/>
            <w:vAlign w:val="center"/>
          </w:tcPr>
          <w:p>
            <w:pPr>
              <w:spacing w:line="360" w:lineRule="auto"/>
              <w:jc w:val="center"/>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2</w:t>
            </w:r>
          </w:p>
        </w:tc>
        <w:tc>
          <w:tcPr>
            <w:tcW w:w="505"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628" w:type="pct"/>
            <w:vAlign w:val="center"/>
          </w:tcPr>
          <w:p>
            <w:pPr>
              <w:spacing w:line="360" w:lineRule="auto"/>
              <w:jc w:val="center"/>
              <w:rPr>
                <w:rFonts w:asciiTheme="minorEastAsia" w:hAnsiTheme="minorEastAsia" w:eastAsiaTheme="minorEastAsia" w:cstheme="minorEastAsia"/>
                <w:color w:val="auto"/>
                <w:szCs w:val="21"/>
                <w:highlight w:val="none"/>
                <w:lang w:bidi="ar"/>
              </w:rPr>
            </w:pPr>
          </w:p>
        </w:tc>
        <w:tc>
          <w:tcPr>
            <w:tcW w:w="477" w:type="pct"/>
            <w:vAlign w:val="center"/>
          </w:tcPr>
          <w:p>
            <w:pPr>
              <w:spacing w:line="360" w:lineRule="auto"/>
              <w:rPr>
                <w:rFonts w:asciiTheme="minorEastAsia" w:hAnsiTheme="minorEastAsia" w:eastAsiaTheme="minorEastAsia" w:cstheme="minorEastAsia"/>
                <w:color w:val="auto"/>
                <w:szCs w:val="21"/>
                <w:highlight w:val="none"/>
                <w:lang w:bidi="ar"/>
              </w:rPr>
            </w:pPr>
          </w:p>
        </w:tc>
      </w:tr>
    </w:tbl>
    <w:p>
      <w:pPr>
        <w:pStyle w:val="16"/>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十、报价要求</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★1.供应商应当在投标文件中按招标文件附表1《报价明细表》的格式对本采购项目内容要求的全部服务项目及岗位人员进行逐一报价，若有缺项、漏项，视为无效报价。</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2.《报价明细表》为《开标一览表》、《分项报价》的报价明细，报价中已包括完成该辅助岗服务项目所需的一切费用，采购人无须另外支付任何费用。</w:t>
      </w:r>
    </w:p>
    <w:p>
      <w:pPr>
        <w:pStyle w:val="16"/>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3.服务期内，本项目服务费用标准固定不变，也不因物价水平、最低工资标准等因素的变化而调整。</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本项目的投标总报价包含：人员服务费（包含：人员工资、社保、公积金费、残疾人保障金、团体意外险、国家规定津贴、国家规定的节假日和调休日值班、员工年假等各项成本费用，员工福利、人员培训、体检费、服装费等费用）、设施设备、办公工具等及其他与本项目所涉及的含税费用及合同实施过程中的应预见和不可预见费用等完成合同规定责任和义务、达到合同目的的一切成本费用。</w:t>
      </w:r>
    </w:p>
    <w:p>
      <w:pPr>
        <w:pStyle w:val="16"/>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十一、履约保证金</w:t>
      </w:r>
    </w:p>
    <w:p>
      <w:pPr>
        <w:pStyle w:val="16"/>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1.中标人与采购人签订合同之日起10个工作日内，以现金或非现金（包括支票、汇票、本票、保函等）方式向采购人支付当前合同总金额的 </w:t>
      </w:r>
      <w:r>
        <w:rPr>
          <w:rFonts w:hint="eastAsia" w:asciiTheme="minorEastAsia" w:hAnsiTheme="minorEastAsia" w:eastAsiaTheme="minorEastAsia" w:cstheme="minorEastAsia"/>
          <w:color w:val="auto"/>
          <w:szCs w:val="21"/>
          <w:highlight w:val="none"/>
          <w:u w:val="single"/>
        </w:rPr>
        <w:t>5</w:t>
      </w:r>
      <w:r>
        <w:rPr>
          <w:rFonts w:hint="eastAsia" w:asciiTheme="minorEastAsia" w:hAnsiTheme="minorEastAsia" w:eastAsiaTheme="minorEastAsia" w:cstheme="minorEastAsia"/>
          <w:color w:val="auto"/>
          <w:szCs w:val="21"/>
          <w:highlight w:val="none"/>
        </w:rPr>
        <w:t>%作为履约保证。</w:t>
      </w:r>
    </w:p>
    <w:p>
      <w:pPr>
        <w:pStyle w:val="16"/>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2.履约保证金的交纳应当以支票、汇票、本票或者金融机构、担保机构出具的保函等非现金形式提交；若履约保证金以保函形式提交的，则保函有效期必须至少满足至本项目完成最终验收之日止的期限。</w:t>
      </w:r>
    </w:p>
    <w:p>
      <w:pPr>
        <w:pStyle w:val="16"/>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3.若中标人在整个服务期内没有出现违约行为或扣罚情况，则履约保证金将在合同履约结束后，采购人于30个工作日内无息退还供应商。 </w:t>
      </w:r>
    </w:p>
    <w:p>
      <w:pPr>
        <w:pStyle w:val="16"/>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十二、付款方式</w:t>
      </w:r>
    </w:p>
    <w:p>
      <w:pPr>
        <w:pStyle w:val="16"/>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根据《广东省财政厅关于进一步优化政府采购领域营商环境的实施意见》（粤财采购〔2021〕7号）等相关规定并结合项目具体特点，付款方式如下：</w:t>
      </w:r>
    </w:p>
    <w:p>
      <w:pPr>
        <w:pStyle w:val="16"/>
        <w:spacing w:line="360" w:lineRule="auto"/>
        <w:rPr>
          <w:rFonts w:asciiTheme="minorEastAsia" w:hAnsiTheme="minorEastAsia" w:eastAsiaTheme="minorEastAsia" w:cstheme="minorEastAsia"/>
          <w:color w:val="auto"/>
          <w:szCs w:val="21"/>
          <w:highlight w:val="none"/>
          <w:lang w:bidi="ar"/>
        </w:rPr>
      </w:pPr>
      <w:r>
        <w:rPr>
          <w:rFonts w:hint="eastAsia" w:ascii="方正小标宋简体" w:hAnsi="宋体" w:eastAsia="方正小标宋简体" w:cs="宋体"/>
          <w:bCs/>
          <w:color w:val="auto"/>
          <w:highlight w:val="none"/>
        </w:rPr>
        <w:t>★</w:t>
      </w:r>
      <w:r>
        <w:rPr>
          <w:rFonts w:hint="eastAsia" w:asciiTheme="minorEastAsia" w:hAnsiTheme="minorEastAsia" w:eastAsiaTheme="minorEastAsia" w:cstheme="minorEastAsia"/>
          <w:color w:val="auto"/>
          <w:szCs w:val="21"/>
          <w:highlight w:val="none"/>
        </w:rPr>
        <w:t>1.签订合同后，辅助岗服务费</w:t>
      </w:r>
      <w:r>
        <w:rPr>
          <w:rFonts w:hint="eastAsia" w:asciiTheme="minorEastAsia" w:hAnsiTheme="minorEastAsia" w:eastAsiaTheme="minorEastAsia" w:cstheme="minorEastAsia"/>
          <w:color w:val="auto"/>
          <w:szCs w:val="21"/>
          <w:highlight w:val="none"/>
          <w:lang w:val="en-US" w:eastAsia="zh-CN"/>
        </w:rPr>
        <w:t>原则上采用“</w:t>
      </w:r>
      <w:r>
        <w:rPr>
          <w:rFonts w:hint="eastAsia" w:asciiTheme="minorEastAsia" w:hAnsiTheme="minorEastAsia" w:eastAsiaTheme="minorEastAsia" w:cstheme="minorEastAsia"/>
          <w:color w:val="auto"/>
          <w:szCs w:val="21"/>
          <w:highlight w:val="none"/>
        </w:rPr>
        <w:t>按月</w:t>
      </w:r>
      <w:r>
        <w:rPr>
          <w:rFonts w:hint="eastAsia" w:asciiTheme="minorEastAsia" w:hAnsiTheme="minorEastAsia" w:eastAsiaTheme="minorEastAsia" w:cstheme="minorEastAsia"/>
          <w:color w:val="auto"/>
          <w:szCs w:val="21"/>
          <w:highlight w:val="none"/>
          <w:lang w:val="en-US" w:eastAsia="zh-CN"/>
        </w:rPr>
        <w:t>支</w:t>
      </w:r>
      <w:r>
        <w:rPr>
          <w:rFonts w:hint="eastAsia" w:asciiTheme="minorEastAsia" w:hAnsiTheme="minorEastAsia" w:eastAsiaTheme="minorEastAsia" w:cstheme="minorEastAsia"/>
          <w:color w:val="auto"/>
          <w:szCs w:val="21"/>
          <w:highlight w:val="none"/>
        </w:rPr>
        <w:t>付</w:t>
      </w:r>
      <w:r>
        <w:rPr>
          <w:rFonts w:hint="eastAsia" w:asciiTheme="minorEastAsia" w:hAnsiTheme="minorEastAsia" w:eastAsia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lang w:val="en-US" w:eastAsia="zh-CN"/>
        </w:rPr>
        <w:t>【根据本项目的政府预算政策：2024年10月、11月和12月（共3个月）的结算费将延期至2025年财政预算下达月（预计2025年3月份前）内一次性支付】</w:t>
      </w:r>
      <w:r>
        <w:rPr>
          <w:rFonts w:hint="eastAsia" w:asciiTheme="minorEastAsia" w:hAnsiTheme="minorEastAsia" w:eastAsiaTheme="minorEastAsia" w:cstheme="minorEastAsia"/>
          <w:color w:val="auto"/>
          <w:szCs w:val="21"/>
          <w:highlight w:val="none"/>
        </w:rPr>
        <w:t>，服务期内，</w:t>
      </w:r>
      <w:r>
        <w:rPr>
          <w:rFonts w:hint="eastAsia" w:asciiTheme="minorEastAsia" w:hAnsiTheme="minorEastAsia" w:eastAsiaTheme="minorEastAsia" w:cstheme="minorEastAsia"/>
          <w:color w:val="auto"/>
          <w:szCs w:val="21"/>
          <w:highlight w:val="none"/>
          <w:lang w:bidi="ar"/>
        </w:rPr>
        <w:t>采购人于每月15日前（如遇节假日顺延至第一个工作日）支付上个月费用，如中标人提供服务不足一个月时按日计算。结算金额根据中标人上月履约验收（考核表）的整体服务质量、月度考核情况、服务人员工作绩效考核评价情况、采购人要求的实际人数以及岗位人员出勤情况，按实际发生结算支付。如中标人整体服务 质量月度考核扣分，服务人员工作绩效考核评价扣费，服务人员缺岗缺勤，则对结算金额作相应扣减，合同期最后一个月考核在履约保证金中扣罚。</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2.根据考核情况支付支付比例如下：</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（1）考核分数达到</w:t>
      </w:r>
      <w:r>
        <w:rPr>
          <w:rFonts w:hint="eastAsia" w:asciiTheme="minorEastAsia" w:hAnsiTheme="minorEastAsia" w:eastAsiaTheme="minorEastAsia" w:cstheme="minorEastAsia"/>
          <w:color w:val="auto"/>
          <w:szCs w:val="21"/>
          <w:highlight w:val="none"/>
          <w:lang w:val="en-US" w:eastAsia="zh-CN" w:bidi="ar"/>
        </w:rPr>
        <w:t>80</w:t>
      </w:r>
      <w:r>
        <w:rPr>
          <w:rFonts w:hint="eastAsia" w:asciiTheme="minorEastAsia" w:hAnsiTheme="minorEastAsia" w:eastAsiaTheme="minorEastAsia" w:cstheme="minorEastAsia"/>
          <w:color w:val="auto"/>
          <w:szCs w:val="21"/>
          <w:highlight w:val="none"/>
          <w:lang w:bidi="ar"/>
        </w:rPr>
        <w:t>分或以上的，视为考核结果“</w:t>
      </w:r>
      <w:r>
        <w:rPr>
          <w:rFonts w:hint="eastAsia" w:asciiTheme="minorEastAsia" w:hAnsiTheme="minorEastAsia" w:eastAsiaTheme="minorEastAsia" w:cstheme="minorEastAsia"/>
          <w:color w:val="auto"/>
          <w:szCs w:val="21"/>
          <w:highlight w:val="none"/>
          <w:lang w:val="en-US" w:eastAsia="zh-CN" w:bidi="ar"/>
        </w:rPr>
        <w:t>合格</w:t>
      </w:r>
      <w:r>
        <w:rPr>
          <w:rFonts w:hint="eastAsia" w:asciiTheme="minorEastAsia" w:hAnsiTheme="minorEastAsia" w:eastAsiaTheme="minorEastAsia" w:cstheme="minorEastAsia"/>
          <w:color w:val="auto"/>
          <w:szCs w:val="21"/>
          <w:highlight w:val="none"/>
          <w:lang w:bidi="ar"/>
        </w:rPr>
        <w:t>”，按月结费用的100%支付当期款项；</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（2）考核分数达到60-79分的，视为考核结果“基本合格”，按月结费用的</w:t>
      </w:r>
      <w:r>
        <w:rPr>
          <w:rFonts w:hint="eastAsia" w:asciiTheme="minorEastAsia" w:hAnsiTheme="minorEastAsia" w:eastAsiaTheme="minorEastAsia" w:cstheme="minorEastAsia"/>
          <w:color w:val="auto"/>
          <w:szCs w:val="21"/>
          <w:highlight w:val="none"/>
          <w:lang w:val="en-US" w:eastAsia="zh-CN" w:bidi="ar"/>
        </w:rPr>
        <w:t>70</w:t>
      </w:r>
      <w:r>
        <w:rPr>
          <w:rFonts w:hint="eastAsia" w:asciiTheme="minorEastAsia" w:hAnsiTheme="minorEastAsia" w:eastAsiaTheme="minorEastAsia" w:cstheme="minorEastAsia"/>
          <w:color w:val="auto"/>
          <w:szCs w:val="21"/>
          <w:highlight w:val="none"/>
          <w:lang w:bidi="ar"/>
        </w:rPr>
        <w:t xml:space="preserve"> %支付当期款项；</w:t>
      </w:r>
    </w:p>
    <w:p>
      <w:pPr>
        <w:spacing w:line="360" w:lineRule="auto"/>
        <w:rPr>
          <w:rFonts w:hint="eastAsia" w:asciiTheme="minorEastAsia" w:hAnsiTheme="minorEastAsia" w:eastAsiaTheme="minorEastAsia" w:cstheme="minorEastAsia"/>
          <w:color w:val="auto"/>
          <w:szCs w:val="21"/>
          <w:highlight w:val="none"/>
          <w:lang w:val="en-US" w:eastAsia="zh-CN" w:bidi="ar"/>
        </w:rPr>
      </w:pPr>
      <w:r>
        <w:rPr>
          <w:rFonts w:hint="eastAsia" w:asciiTheme="minorEastAsia" w:hAnsiTheme="minorEastAsia" w:eastAsiaTheme="minorEastAsia" w:cstheme="minorEastAsia"/>
          <w:color w:val="auto"/>
          <w:szCs w:val="21"/>
          <w:highlight w:val="none"/>
          <w:lang w:bidi="ar"/>
        </w:rPr>
        <w:t>（</w:t>
      </w:r>
      <w:r>
        <w:rPr>
          <w:rFonts w:hint="eastAsia" w:asciiTheme="minorEastAsia" w:hAnsiTheme="minorEastAsia" w:eastAsiaTheme="minorEastAsia" w:cstheme="minorEastAsia"/>
          <w:color w:val="auto"/>
          <w:szCs w:val="21"/>
          <w:highlight w:val="none"/>
          <w:lang w:val="en-US" w:eastAsia="zh-CN" w:bidi="ar"/>
        </w:rPr>
        <w:t>3</w:t>
      </w:r>
      <w:r>
        <w:rPr>
          <w:rFonts w:hint="eastAsia" w:asciiTheme="minorEastAsia" w:hAnsiTheme="minorEastAsia" w:eastAsiaTheme="minorEastAsia" w:cstheme="minorEastAsia"/>
          <w:color w:val="auto"/>
          <w:szCs w:val="21"/>
          <w:highlight w:val="none"/>
          <w:lang w:bidi="ar"/>
        </w:rPr>
        <w:t>）考核分数60分以下的 ，视为考核结果“不合格”，</w:t>
      </w:r>
      <w:r>
        <w:rPr>
          <w:rFonts w:hint="eastAsia" w:asciiTheme="minorEastAsia" w:hAnsiTheme="minorEastAsia" w:eastAsiaTheme="minorEastAsia" w:cstheme="minorEastAsia"/>
          <w:color w:val="auto"/>
          <w:szCs w:val="21"/>
          <w:highlight w:val="none"/>
          <w:lang w:val="en-US" w:eastAsia="zh-CN" w:bidi="ar"/>
        </w:rPr>
        <w:t>采购人不予支付当期款项。</w:t>
      </w:r>
    </w:p>
    <w:p>
      <w:pPr>
        <w:spacing w:line="360" w:lineRule="auto"/>
        <w:rPr>
          <w:rFonts w:asciiTheme="minorEastAsia" w:hAnsiTheme="minorEastAsia" w:eastAsiaTheme="minorEastAsia" w:cstheme="minorEastAsia"/>
          <w:color w:val="auto"/>
          <w:szCs w:val="21"/>
          <w:highlight w:val="none"/>
          <w:lang w:bidi="ar"/>
        </w:rPr>
      </w:pPr>
      <w:r>
        <w:rPr>
          <w:rFonts w:hint="eastAsia" w:asciiTheme="minorEastAsia" w:hAnsiTheme="minorEastAsia" w:eastAsiaTheme="minorEastAsia" w:cstheme="minorEastAsia"/>
          <w:color w:val="auto"/>
          <w:szCs w:val="21"/>
          <w:highlight w:val="none"/>
          <w:lang w:bidi="ar"/>
        </w:rPr>
        <w:t>3.通过年度验收合格，可以续签次年合同时，自次年合同签订后，继续沿用上述支付规则。</w:t>
      </w:r>
    </w:p>
    <w:p>
      <w:pPr>
        <w:pStyle w:val="21"/>
        <w:widowControl w:val="0"/>
        <w:spacing w:line="360" w:lineRule="auto"/>
        <w:jc w:val="both"/>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4.中标人须在采购人办理支付手续前10个工作日内提交：①合同；②中标通知书；</w:t>
      </w:r>
      <w:r>
        <w:rPr>
          <w:rFonts w:hint="eastAsia" w:asciiTheme="minorEastAsia" w:hAnsiTheme="minorEastAsia" w:eastAsiaTheme="minorEastAsia" w:cstheme="minorEastAsia"/>
          <w:bCs/>
          <w:color w:val="auto"/>
          <w:szCs w:val="21"/>
          <w:highlight w:val="none"/>
        </w:rPr>
        <w:t>③</w:t>
      </w:r>
      <w:r>
        <w:rPr>
          <w:rFonts w:hint="eastAsia" w:asciiTheme="minorEastAsia" w:hAnsiTheme="minorEastAsia" w:eastAsiaTheme="minorEastAsia" w:cstheme="minorEastAsia"/>
          <w:color w:val="auto"/>
          <w:szCs w:val="21"/>
          <w:highlight w:val="none"/>
        </w:rPr>
        <w:t>中标供应商开具的发票；</w:t>
      </w:r>
      <w:r>
        <w:rPr>
          <w:rFonts w:hint="eastAsia" w:asciiTheme="minorEastAsia" w:hAnsiTheme="minorEastAsia" w:eastAsiaTheme="minorEastAsia" w:cstheme="minorEastAsia"/>
          <w:bCs/>
          <w:color w:val="auto"/>
          <w:szCs w:val="21"/>
          <w:highlight w:val="none"/>
        </w:rPr>
        <w:t>④每人每月的工资构成表（须包含当月工资、补贴、社保、公积金、加班费用（如有）等）、⑤</w:t>
      </w:r>
      <w:r>
        <w:rPr>
          <w:rFonts w:hint="eastAsia" w:asciiTheme="minorEastAsia" w:hAnsiTheme="minorEastAsia" w:eastAsiaTheme="minorEastAsia" w:cstheme="minorEastAsia"/>
          <w:color w:val="auto"/>
          <w:szCs w:val="21"/>
          <w:highlight w:val="none"/>
        </w:rPr>
        <w:t>每月履约验收（考核表加盖采购人单位公章）</w:t>
      </w:r>
      <w:r>
        <w:rPr>
          <w:rFonts w:hint="eastAsia" w:asciiTheme="minorEastAsia" w:hAnsiTheme="minorEastAsia" w:eastAsiaTheme="minorEastAsia" w:cstheme="minorEastAsia"/>
          <w:bCs/>
          <w:color w:val="auto"/>
          <w:szCs w:val="21"/>
          <w:highlight w:val="none"/>
        </w:rPr>
        <w:t>等资料给采购人申请支付。</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中标人不能因此主张采购人违反合同约定，不能因此主张解除合同。</w:t>
      </w:r>
    </w:p>
    <w:p>
      <w:pPr>
        <w:spacing w:line="360" w:lineRule="auto"/>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十三、附件</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1.附表1《报价明细表》的格式</w:t>
      </w:r>
    </w:p>
    <w:p>
      <w:pPr>
        <w:spacing w:line="360" w:lineRule="auto"/>
        <w:ind w:firstLine="420" w:firstLineChars="200"/>
        <w:rPr>
          <w:rFonts w:asciiTheme="minorEastAsia" w:hAnsiTheme="minorEastAsia" w:eastAsiaTheme="minorEastAsia" w:cstheme="minorEastAsia"/>
          <w:color w:val="auto"/>
          <w:szCs w:val="21"/>
          <w:highlight w:val="none"/>
        </w:rPr>
        <w:sectPr>
          <w:footerReference r:id="rId3" w:type="default"/>
          <w:pgSz w:w="11906" w:h="16838"/>
          <w:pgMar w:top="1440" w:right="1800" w:bottom="1440" w:left="1800" w:header="851" w:footer="992" w:gutter="0"/>
          <w:cols w:space="425" w:num="1"/>
          <w:docGrid w:type="lines" w:linePitch="312" w:charSpace="0"/>
        </w:sectPr>
      </w:pPr>
    </w:p>
    <w:p>
      <w:pPr>
        <w:spacing w:after="75" w:line="360" w:lineRule="auto"/>
        <w:outlineLvl w:val="0"/>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附表1《报价明细表》的格式（下列格式为上传的电子报价数据）</w:t>
      </w:r>
    </w:p>
    <w:p>
      <w:pPr>
        <w:spacing w:line="360" w:lineRule="auto"/>
        <w:rPr>
          <w:rFonts w:asciiTheme="minorEastAsia" w:hAnsiTheme="minorEastAsia" w:eastAsiaTheme="minorEastAsia" w:cstheme="minorEastAsia"/>
          <w:color w:val="auto"/>
          <w:szCs w:val="21"/>
          <w:highlight w:val="none"/>
        </w:rPr>
      </w:pPr>
    </w:p>
    <w:p>
      <w:pPr>
        <w:spacing w:line="360" w:lineRule="auto"/>
        <w:ind w:firstLine="422" w:firstLineChars="200"/>
        <w:jc w:val="center"/>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报价明细表</w:t>
      </w:r>
    </w:p>
    <w:tbl>
      <w:tblPr>
        <w:tblStyle w:val="11"/>
        <w:tblW w:w="473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28" w:type="dxa"/>
          <w:bottom w:w="85" w:type="dxa"/>
          <w:right w:w="28" w:type="dxa"/>
        </w:tblCellMar>
      </w:tblPr>
      <w:tblGrid>
        <w:gridCol w:w="574"/>
        <w:gridCol w:w="493"/>
        <w:gridCol w:w="665"/>
        <w:gridCol w:w="461"/>
        <w:gridCol w:w="789"/>
        <w:gridCol w:w="789"/>
        <w:gridCol w:w="793"/>
        <w:gridCol w:w="963"/>
        <w:gridCol w:w="960"/>
        <w:gridCol w:w="963"/>
        <w:gridCol w:w="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363" w:type="pct"/>
            <w:vMerge w:val="restar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服务区域</w:t>
            </w:r>
          </w:p>
        </w:tc>
        <w:tc>
          <w:tcPr>
            <w:tcW w:w="311" w:type="pct"/>
            <w:vMerge w:val="restar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部门</w:t>
            </w:r>
          </w:p>
        </w:tc>
        <w:tc>
          <w:tcPr>
            <w:tcW w:w="419" w:type="pct"/>
            <w:vMerge w:val="restar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岗位名称</w:t>
            </w:r>
          </w:p>
        </w:tc>
        <w:tc>
          <w:tcPr>
            <w:tcW w:w="291" w:type="pct"/>
            <w:vMerge w:val="restar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人数</w:t>
            </w:r>
          </w:p>
        </w:tc>
        <w:tc>
          <w:tcPr>
            <w:tcW w:w="1497" w:type="pct"/>
            <w:gridSpan w:val="3"/>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以下3项不需要乘以人数</w:t>
            </w:r>
          </w:p>
        </w:tc>
        <w:tc>
          <w:tcPr>
            <w:tcW w:w="608" w:type="pct"/>
            <w:vMerge w:val="restart"/>
            <w:vAlign w:val="center"/>
          </w:tcPr>
          <w:p>
            <w:pPr>
              <w:adjustRightInd w:val="0"/>
              <w:snapToGrid w:val="0"/>
              <w:spacing w:line="360" w:lineRule="auto"/>
              <w:jc w:val="center"/>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岗位成本</w:t>
            </w:r>
            <w:r>
              <w:rPr>
                <w:rFonts w:hint="eastAsia" w:asciiTheme="minorEastAsia" w:hAnsiTheme="minorEastAsia" w:eastAsiaTheme="minorEastAsia" w:cstheme="minorEastAsia"/>
                <w:color w:val="auto"/>
                <w:szCs w:val="21"/>
                <w:highlight w:val="none"/>
              </w:rPr>
              <w:t>（元/月）</w:t>
            </w:r>
          </w:p>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【本项乘以对应人数合算】</w:t>
            </w:r>
          </w:p>
        </w:tc>
        <w:tc>
          <w:tcPr>
            <w:tcW w:w="606" w:type="pct"/>
            <w:vMerge w:val="restar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其他成本</w:t>
            </w:r>
            <w:r>
              <w:rPr>
                <w:rFonts w:hint="eastAsia" w:asciiTheme="minorEastAsia" w:hAnsiTheme="minorEastAsia" w:eastAsiaTheme="minorEastAsia" w:cstheme="minorEastAsia"/>
                <w:b/>
                <w:bCs/>
                <w:color w:val="auto"/>
                <w:szCs w:val="21"/>
                <w:highlight w:val="none"/>
              </w:rPr>
              <w:t>（元/月）</w:t>
            </w:r>
          </w:p>
        </w:tc>
        <w:tc>
          <w:tcPr>
            <w:tcW w:w="608" w:type="pct"/>
            <w:vMerge w:val="restar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税费</w:t>
            </w:r>
            <w:r>
              <w:rPr>
                <w:rFonts w:hint="eastAsia" w:asciiTheme="minorEastAsia" w:hAnsiTheme="minorEastAsia" w:eastAsiaTheme="minorEastAsia" w:cstheme="minorEastAsia"/>
                <w:color w:val="auto"/>
                <w:szCs w:val="21"/>
                <w:highlight w:val="none"/>
              </w:rPr>
              <w:t xml:space="preserve">   %（元/月）</w:t>
            </w:r>
          </w:p>
        </w:tc>
        <w:tc>
          <w:tcPr>
            <w:tcW w:w="294" w:type="pct"/>
            <w:vMerge w:val="restar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363" w:type="pct"/>
            <w:vMerge w:val="continue"/>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311" w:type="pct"/>
            <w:vMerge w:val="continue"/>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19" w:type="pct"/>
            <w:vMerge w:val="continue"/>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291" w:type="pct"/>
            <w:vMerge w:val="continue"/>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工资</w:t>
            </w:r>
          </w:p>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(元/月每人)</w:t>
            </w: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社保</w:t>
            </w:r>
          </w:p>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(元/月每人)</w:t>
            </w:r>
          </w:p>
        </w:tc>
        <w:tc>
          <w:tcPr>
            <w:tcW w:w="500"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公积金及福利费等</w:t>
            </w:r>
          </w:p>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(元/月每人)</w:t>
            </w:r>
          </w:p>
        </w:tc>
        <w:tc>
          <w:tcPr>
            <w:tcW w:w="608" w:type="pct"/>
            <w:vMerge w:val="continue"/>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6" w:type="pct"/>
            <w:vMerge w:val="continue"/>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8" w:type="pct"/>
            <w:vMerge w:val="continue"/>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294" w:type="pct"/>
            <w:vMerge w:val="continue"/>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363"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31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19"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bidi="ar"/>
              </w:rPr>
              <w:t>项目经理</w:t>
            </w:r>
          </w:p>
        </w:tc>
        <w:tc>
          <w:tcPr>
            <w:tcW w:w="29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500"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6" w:type="pct"/>
            <w:vMerge w:val="restart"/>
            <w:vAlign w:val="center"/>
          </w:tcPr>
          <w:p>
            <w:pPr>
              <w:adjustRightInd w:val="0"/>
              <w:snapToGrid w:val="0"/>
              <w:spacing w:line="360" w:lineRule="auto"/>
              <w:jc w:val="center"/>
              <w:rPr>
                <w:rFonts w:asciiTheme="minorEastAsia" w:hAnsiTheme="minorEastAsia" w:eastAsiaTheme="minorEastAsia" w:cstheme="minorEastAsia"/>
                <w:b/>
                <w:bCs/>
                <w:color w:val="auto"/>
                <w:szCs w:val="21"/>
                <w:highlight w:val="none"/>
              </w:rPr>
            </w:pPr>
          </w:p>
        </w:tc>
        <w:tc>
          <w:tcPr>
            <w:tcW w:w="608" w:type="pct"/>
            <w:vMerge w:val="restart"/>
            <w:vAlign w:val="center"/>
          </w:tcPr>
          <w:p>
            <w:pPr>
              <w:adjustRightInd w:val="0"/>
              <w:snapToGrid w:val="0"/>
              <w:spacing w:line="360" w:lineRule="auto"/>
              <w:jc w:val="center"/>
              <w:rPr>
                <w:rFonts w:asciiTheme="minorEastAsia" w:hAnsiTheme="minorEastAsia" w:eastAsiaTheme="minorEastAsia" w:cstheme="minorEastAsia"/>
                <w:b/>
                <w:bCs/>
                <w:color w:val="auto"/>
                <w:szCs w:val="21"/>
                <w:highlight w:val="none"/>
              </w:rPr>
            </w:pPr>
          </w:p>
        </w:tc>
        <w:tc>
          <w:tcPr>
            <w:tcW w:w="294" w:type="pct"/>
            <w:vMerge w:val="restart"/>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363" w:type="pct"/>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c>
          <w:tcPr>
            <w:tcW w:w="31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19"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bidi="ar"/>
              </w:rPr>
              <w:t>群文工作岗</w:t>
            </w:r>
          </w:p>
        </w:tc>
        <w:tc>
          <w:tcPr>
            <w:tcW w:w="29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500"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6" w:type="pct"/>
            <w:vMerge w:val="continue"/>
            <w:vAlign w:val="center"/>
          </w:tcPr>
          <w:p>
            <w:pPr>
              <w:adjustRightInd w:val="0"/>
              <w:snapToGrid w:val="0"/>
              <w:spacing w:line="360" w:lineRule="auto"/>
              <w:rPr>
                <w:rFonts w:asciiTheme="minorEastAsia" w:hAnsiTheme="minorEastAsia" w:eastAsiaTheme="minorEastAsia" w:cstheme="minorEastAsia"/>
                <w:b/>
                <w:bCs/>
                <w:color w:val="auto"/>
                <w:szCs w:val="21"/>
                <w:highlight w:val="none"/>
              </w:rPr>
            </w:pPr>
          </w:p>
        </w:tc>
        <w:tc>
          <w:tcPr>
            <w:tcW w:w="608" w:type="pct"/>
            <w:vMerge w:val="continue"/>
            <w:vAlign w:val="center"/>
          </w:tcPr>
          <w:p>
            <w:pPr>
              <w:adjustRightInd w:val="0"/>
              <w:snapToGrid w:val="0"/>
              <w:spacing w:line="360" w:lineRule="auto"/>
              <w:rPr>
                <w:rFonts w:asciiTheme="minorEastAsia" w:hAnsiTheme="minorEastAsia" w:eastAsiaTheme="minorEastAsia" w:cstheme="minorEastAsia"/>
                <w:b/>
                <w:bCs/>
                <w:color w:val="auto"/>
                <w:szCs w:val="21"/>
                <w:highlight w:val="none"/>
              </w:rPr>
            </w:pPr>
          </w:p>
        </w:tc>
        <w:tc>
          <w:tcPr>
            <w:tcW w:w="294" w:type="pct"/>
            <w:vMerge w:val="continue"/>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363" w:type="pct"/>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c>
          <w:tcPr>
            <w:tcW w:w="31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19"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bidi="ar"/>
              </w:rPr>
              <w:t>讲解员岗</w:t>
            </w:r>
          </w:p>
        </w:tc>
        <w:tc>
          <w:tcPr>
            <w:tcW w:w="29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500"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6" w:type="pct"/>
            <w:vMerge w:val="continue"/>
            <w:vAlign w:val="center"/>
          </w:tcPr>
          <w:p>
            <w:pPr>
              <w:adjustRightInd w:val="0"/>
              <w:snapToGrid w:val="0"/>
              <w:spacing w:line="360" w:lineRule="auto"/>
              <w:rPr>
                <w:rFonts w:asciiTheme="minorEastAsia" w:hAnsiTheme="minorEastAsia" w:eastAsiaTheme="minorEastAsia" w:cstheme="minorEastAsia"/>
                <w:b/>
                <w:bCs/>
                <w:color w:val="auto"/>
                <w:szCs w:val="21"/>
                <w:highlight w:val="none"/>
              </w:rPr>
            </w:pPr>
          </w:p>
        </w:tc>
        <w:tc>
          <w:tcPr>
            <w:tcW w:w="608" w:type="pct"/>
            <w:vMerge w:val="continue"/>
            <w:vAlign w:val="center"/>
          </w:tcPr>
          <w:p>
            <w:pPr>
              <w:adjustRightInd w:val="0"/>
              <w:snapToGrid w:val="0"/>
              <w:spacing w:line="360" w:lineRule="auto"/>
              <w:rPr>
                <w:rFonts w:asciiTheme="minorEastAsia" w:hAnsiTheme="minorEastAsia" w:eastAsiaTheme="minorEastAsia" w:cstheme="minorEastAsia"/>
                <w:b/>
                <w:bCs/>
                <w:color w:val="auto"/>
                <w:szCs w:val="21"/>
                <w:highlight w:val="none"/>
              </w:rPr>
            </w:pPr>
          </w:p>
        </w:tc>
        <w:tc>
          <w:tcPr>
            <w:tcW w:w="294" w:type="pct"/>
            <w:vMerge w:val="continue"/>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363" w:type="pct"/>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c>
          <w:tcPr>
            <w:tcW w:w="31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19"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bidi="ar"/>
              </w:rPr>
              <w:t>开放服务</w:t>
            </w:r>
            <w:r>
              <w:rPr>
                <w:rFonts w:hint="eastAsia" w:asciiTheme="minorEastAsia" w:hAnsiTheme="minorEastAsia" w:eastAsiaTheme="minorEastAsia" w:cstheme="minorEastAsia"/>
                <w:color w:val="auto"/>
                <w:szCs w:val="21"/>
                <w:highlight w:val="none"/>
                <w:lang w:bidi="ar"/>
              </w:rPr>
              <w:t>员</w:t>
            </w:r>
          </w:p>
        </w:tc>
        <w:tc>
          <w:tcPr>
            <w:tcW w:w="29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500"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6" w:type="pct"/>
            <w:vMerge w:val="continue"/>
            <w:vAlign w:val="center"/>
          </w:tcPr>
          <w:p>
            <w:pPr>
              <w:adjustRightInd w:val="0"/>
              <w:snapToGrid w:val="0"/>
              <w:spacing w:line="360" w:lineRule="auto"/>
              <w:rPr>
                <w:rFonts w:asciiTheme="minorEastAsia" w:hAnsiTheme="minorEastAsia" w:eastAsiaTheme="minorEastAsia" w:cstheme="minorEastAsia"/>
                <w:b/>
                <w:bCs/>
                <w:color w:val="auto"/>
                <w:szCs w:val="21"/>
                <w:highlight w:val="none"/>
              </w:rPr>
            </w:pPr>
          </w:p>
        </w:tc>
        <w:tc>
          <w:tcPr>
            <w:tcW w:w="608" w:type="pct"/>
            <w:vMerge w:val="continue"/>
            <w:vAlign w:val="center"/>
          </w:tcPr>
          <w:p>
            <w:pPr>
              <w:adjustRightInd w:val="0"/>
              <w:snapToGrid w:val="0"/>
              <w:spacing w:line="360" w:lineRule="auto"/>
              <w:rPr>
                <w:rFonts w:asciiTheme="minorEastAsia" w:hAnsiTheme="minorEastAsia" w:eastAsiaTheme="minorEastAsia" w:cstheme="minorEastAsia"/>
                <w:b/>
                <w:bCs/>
                <w:color w:val="auto"/>
                <w:szCs w:val="21"/>
                <w:highlight w:val="none"/>
              </w:rPr>
            </w:pPr>
          </w:p>
        </w:tc>
        <w:tc>
          <w:tcPr>
            <w:tcW w:w="294" w:type="pct"/>
            <w:vMerge w:val="continue"/>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363" w:type="pct"/>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c>
          <w:tcPr>
            <w:tcW w:w="31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19"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bidi="ar"/>
              </w:rPr>
              <w:t>游客中心服务岗</w:t>
            </w:r>
          </w:p>
        </w:tc>
        <w:tc>
          <w:tcPr>
            <w:tcW w:w="291"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49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500"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8" w:type="pct"/>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p>
        </w:tc>
        <w:tc>
          <w:tcPr>
            <w:tcW w:w="606" w:type="pct"/>
            <w:vMerge w:val="continue"/>
            <w:vAlign w:val="center"/>
          </w:tcPr>
          <w:p>
            <w:pPr>
              <w:adjustRightInd w:val="0"/>
              <w:snapToGrid w:val="0"/>
              <w:spacing w:line="360" w:lineRule="auto"/>
              <w:rPr>
                <w:rFonts w:asciiTheme="minorEastAsia" w:hAnsiTheme="minorEastAsia" w:eastAsiaTheme="minorEastAsia" w:cstheme="minorEastAsia"/>
                <w:b/>
                <w:bCs/>
                <w:color w:val="auto"/>
                <w:szCs w:val="21"/>
                <w:highlight w:val="none"/>
              </w:rPr>
            </w:pPr>
          </w:p>
        </w:tc>
        <w:tc>
          <w:tcPr>
            <w:tcW w:w="608" w:type="pct"/>
            <w:vMerge w:val="continue"/>
            <w:vAlign w:val="center"/>
          </w:tcPr>
          <w:p>
            <w:pPr>
              <w:adjustRightInd w:val="0"/>
              <w:snapToGrid w:val="0"/>
              <w:spacing w:line="360" w:lineRule="auto"/>
              <w:rPr>
                <w:rFonts w:asciiTheme="minorEastAsia" w:hAnsiTheme="minorEastAsia" w:eastAsiaTheme="minorEastAsia" w:cstheme="minorEastAsia"/>
                <w:b/>
                <w:bCs/>
                <w:color w:val="auto"/>
                <w:szCs w:val="21"/>
                <w:highlight w:val="none"/>
              </w:rPr>
            </w:pPr>
          </w:p>
        </w:tc>
        <w:tc>
          <w:tcPr>
            <w:tcW w:w="294" w:type="pct"/>
            <w:vMerge w:val="continue"/>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1094" w:type="pct"/>
            <w:gridSpan w:val="3"/>
            <w:tcBorders>
              <w:bottom w:val="single" w:color="auto" w:sz="4" w:space="0"/>
            </w:tcBorders>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每月管理成本费用合计 (元/月)</w:t>
            </w:r>
          </w:p>
        </w:tc>
        <w:tc>
          <w:tcPr>
            <w:tcW w:w="3905" w:type="pct"/>
            <w:gridSpan w:val="8"/>
            <w:tcBorders>
              <w:bottom w:val="single" w:color="auto" w:sz="4" w:space="0"/>
            </w:tcBorders>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1094" w:type="pct"/>
            <w:gridSpan w:val="3"/>
            <w:tcBorders>
              <w:top w:val="single" w:color="auto" w:sz="4" w:space="0"/>
              <w:left w:val="single" w:color="auto" w:sz="4" w:space="0"/>
              <w:bottom w:val="double" w:color="auto" w:sz="4" w:space="0"/>
              <w:right w:val="single" w:color="auto" w:sz="4" w:space="0"/>
            </w:tcBorders>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管理酬金</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w:t>
            </w:r>
          </w:p>
          <w:p>
            <w:pPr>
              <w:adjustRightInd w:val="0"/>
              <w:snapToGrid w:val="0"/>
              <w:spacing w:line="360" w:lineRule="auto"/>
              <w:jc w:val="center"/>
              <w:rPr>
                <w:rFonts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bCs/>
                <w:color w:val="auto"/>
                <w:szCs w:val="21"/>
                <w:highlight w:val="none"/>
              </w:rPr>
              <w:t>元/月</w:t>
            </w:r>
            <w:r>
              <w:rPr>
                <w:rFonts w:hint="eastAsia" w:asciiTheme="minorEastAsia" w:hAnsiTheme="minorEastAsia" w:eastAsiaTheme="minorEastAsia" w:cstheme="minorEastAsia"/>
                <w:color w:val="auto"/>
                <w:szCs w:val="21"/>
                <w:highlight w:val="none"/>
              </w:rPr>
              <w:t>）</w:t>
            </w:r>
          </w:p>
        </w:tc>
        <w:tc>
          <w:tcPr>
            <w:tcW w:w="3905" w:type="pct"/>
            <w:gridSpan w:val="8"/>
            <w:tcBorders>
              <w:top w:val="single" w:color="auto" w:sz="4" w:space="0"/>
              <w:left w:val="single" w:color="auto" w:sz="4" w:space="0"/>
              <w:bottom w:val="double" w:color="auto" w:sz="4" w:space="0"/>
              <w:right w:val="single" w:color="auto" w:sz="4" w:space="0"/>
            </w:tcBorders>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227" w:hRule="atLeast"/>
          <w:jc w:val="center"/>
        </w:trPr>
        <w:tc>
          <w:tcPr>
            <w:tcW w:w="1094" w:type="pct"/>
            <w:gridSpan w:val="3"/>
            <w:tcBorders>
              <w:top w:val="double" w:color="auto" w:sz="4" w:space="0"/>
              <w:bottom w:val="double" w:color="auto" w:sz="4" w:space="0"/>
            </w:tcBorders>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基本费用年度合计 (元/年)</w:t>
            </w:r>
          </w:p>
        </w:tc>
        <w:tc>
          <w:tcPr>
            <w:tcW w:w="3905" w:type="pct"/>
            <w:gridSpan w:val="8"/>
            <w:tcBorders>
              <w:top w:val="double" w:color="auto" w:sz="4" w:space="0"/>
              <w:bottom w:val="double" w:color="auto" w:sz="4" w:space="0"/>
            </w:tcBorders>
            <w:vAlign w:val="center"/>
          </w:tcPr>
          <w:p>
            <w:pPr>
              <w:adjustRightInd w:val="0"/>
              <w:snapToGrid w:val="0"/>
              <w:spacing w:line="360" w:lineRule="auto"/>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340" w:hRule="atLeast"/>
          <w:jc w:val="center"/>
        </w:trPr>
        <w:tc>
          <w:tcPr>
            <w:tcW w:w="5000" w:type="pct"/>
            <w:gridSpan w:val="11"/>
            <w:tcBorders>
              <w:top w:val="double" w:color="auto" w:sz="4" w:space="0"/>
              <w:bottom w:val="double" w:color="auto" w:sz="4" w:space="0"/>
            </w:tcBorders>
            <w:vAlign w:val="center"/>
          </w:tcPr>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其他服务内容1：</w:t>
            </w:r>
            <w:r>
              <w:rPr>
                <w:rFonts w:hint="eastAsia" w:asciiTheme="minorEastAsia" w:hAnsiTheme="minorEastAsia" w:eastAsiaTheme="minorEastAsia" w:cstheme="minorEastAsia"/>
                <w:color w:val="auto"/>
                <w:szCs w:val="21"/>
                <w:highlight w:val="none"/>
                <w:u w:val="single"/>
              </w:rPr>
              <w:t>……</w:t>
            </w:r>
            <w:r>
              <w:rPr>
                <w:rFonts w:hint="eastAsia" w:asciiTheme="minorEastAsia" w:hAnsiTheme="minorEastAsia" w:eastAsiaTheme="minorEastAsia" w:cstheme="minorEastAsia"/>
                <w:color w:val="auto"/>
                <w:szCs w:val="21"/>
                <w:highlight w:val="none"/>
              </w:rPr>
              <w:t>，费用合计：人民币 元/年</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其他服务内容2：</w:t>
            </w:r>
            <w:r>
              <w:rPr>
                <w:rFonts w:hint="eastAsia" w:asciiTheme="minorEastAsia" w:hAnsiTheme="minorEastAsia" w:eastAsiaTheme="minorEastAsia" w:cstheme="minorEastAsia"/>
                <w:color w:val="auto"/>
                <w:szCs w:val="21"/>
                <w:highlight w:val="none"/>
                <w:u w:val="single"/>
              </w:rPr>
              <w:t>……</w:t>
            </w:r>
            <w:r>
              <w:rPr>
                <w:rFonts w:hint="eastAsia" w:asciiTheme="minorEastAsia" w:hAnsiTheme="minorEastAsia" w:eastAsiaTheme="minorEastAsia" w:cstheme="minorEastAsia"/>
                <w:color w:val="auto"/>
                <w:szCs w:val="21"/>
                <w:highlight w:val="none"/>
              </w:rPr>
              <w:t>，费用合计：人民币  元/年</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其他服务内容3：</w:t>
            </w:r>
            <w:r>
              <w:rPr>
                <w:rFonts w:hint="eastAsia" w:asciiTheme="minorEastAsia" w:hAnsiTheme="minorEastAsia" w:eastAsiaTheme="minorEastAsia" w:cstheme="minorEastAsia"/>
                <w:color w:val="auto"/>
                <w:szCs w:val="21"/>
                <w:highlight w:val="none"/>
                <w:u w:val="single"/>
              </w:rPr>
              <w:t>……</w:t>
            </w:r>
            <w:r>
              <w:rPr>
                <w:rFonts w:hint="eastAsia" w:asciiTheme="minorEastAsia" w:hAnsiTheme="minorEastAsia" w:eastAsiaTheme="minorEastAsia" w:cstheme="minorEastAsia"/>
                <w:color w:val="auto"/>
                <w:szCs w:val="21"/>
                <w:highlight w:val="none"/>
              </w:rPr>
              <w:t>，费用合计：人民币  元/年</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各项其他服务内容费用合计：</w:t>
            </w:r>
            <w:r>
              <w:rPr>
                <w:rFonts w:hint="eastAsia" w:asciiTheme="minorEastAsia" w:hAnsiTheme="minorEastAsia" w:eastAsiaTheme="minorEastAsia" w:cstheme="minorEastAsia"/>
                <w:color w:val="auto"/>
                <w:szCs w:val="21"/>
                <w:highlight w:val="none"/>
              </w:rPr>
              <w:t>人民币元/年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340" w:hRule="atLeast"/>
          <w:jc w:val="center"/>
        </w:trPr>
        <w:tc>
          <w:tcPr>
            <w:tcW w:w="1094" w:type="pct"/>
            <w:gridSpan w:val="3"/>
            <w:tcBorders>
              <w:top w:val="double" w:color="auto" w:sz="4" w:space="0"/>
              <w:bottom w:val="double" w:color="auto" w:sz="4" w:space="0"/>
            </w:tcBorders>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szCs w:val="21"/>
                <w:highlight w:val="none"/>
              </w:rPr>
              <w:t>每年报价</w:t>
            </w:r>
          </w:p>
        </w:tc>
        <w:tc>
          <w:tcPr>
            <w:tcW w:w="3905" w:type="pct"/>
            <w:gridSpan w:val="8"/>
            <w:tcBorders>
              <w:top w:val="double" w:color="auto" w:sz="4" w:space="0"/>
              <w:bottom w:val="double" w:color="auto" w:sz="4" w:space="0"/>
            </w:tcBorders>
            <w:vAlign w:val="center"/>
          </w:tcPr>
          <w:p>
            <w:pPr>
              <w:adjustRightInd w:val="0"/>
              <w:snapToGrid w:val="0"/>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人民币</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trHeight w:val="340" w:hRule="atLeast"/>
          <w:jc w:val="center"/>
        </w:trPr>
        <w:tc>
          <w:tcPr>
            <w:tcW w:w="1094" w:type="pct"/>
            <w:gridSpan w:val="3"/>
            <w:tcBorders>
              <w:top w:val="double" w:color="auto" w:sz="4" w:space="0"/>
            </w:tcBorders>
            <w:vAlign w:val="center"/>
          </w:tcPr>
          <w:p>
            <w:pPr>
              <w:adjustRightInd w:val="0"/>
              <w:snapToGrid w:val="0"/>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szCs w:val="21"/>
                <w:highlight w:val="none"/>
              </w:rPr>
              <w:t>项目</w:t>
            </w:r>
            <w:r>
              <w:rPr>
                <w:rFonts w:hint="eastAsia" w:asciiTheme="minorEastAsia" w:hAnsiTheme="minorEastAsia" w:eastAsiaTheme="minorEastAsia" w:cstheme="minorEastAsia"/>
                <w:b/>
                <w:bCs/>
                <w:color w:val="auto"/>
                <w:szCs w:val="21"/>
                <w:highlight w:val="none"/>
                <w:u w:val="single"/>
              </w:rPr>
              <w:t>2</w:t>
            </w:r>
            <w:r>
              <w:rPr>
                <w:rFonts w:hint="eastAsia" w:asciiTheme="minorEastAsia" w:hAnsiTheme="minorEastAsia" w:eastAsiaTheme="minorEastAsia" w:cstheme="minorEastAsia"/>
                <w:b/>
                <w:bCs/>
                <w:color w:val="auto"/>
                <w:szCs w:val="21"/>
                <w:highlight w:val="none"/>
              </w:rPr>
              <w:t>年总报价</w:t>
            </w:r>
          </w:p>
        </w:tc>
        <w:tc>
          <w:tcPr>
            <w:tcW w:w="3905" w:type="pct"/>
            <w:gridSpan w:val="8"/>
            <w:tcBorders>
              <w:top w:val="double" w:color="auto" w:sz="4" w:space="0"/>
            </w:tcBorders>
            <w:vAlign w:val="center"/>
          </w:tcPr>
          <w:p>
            <w:pPr>
              <w:adjustRightInd w:val="0"/>
              <w:snapToGrid w:val="0"/>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人民币</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元</w:t>
            </w:r>
          </w:p>
        </w:tc>
      </w:tr>
    </w:tbl>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szCs w:val="21"/>
          <w:highlight w:val="none"/>
        </w:rPr>
        <w:t>填报说明：</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1.此表为《开标一览表》、《分项报价》的采购项目分项报价明细，如有缺项、漏项（数量不符合将被视为漏项）视为报价无效，报价中已包括完成该物业管理服务项目所需的一切费用， 采购人无须另外支付任何费用。</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Style w:val="15"/>
          <w:rFonts w:hint="eastAsia" w:asciiTheme="minorEastAsia" w:hAnsiTheme="minorEastAsia" w:eastAsiaTheme="minorEastAsia" w:cstheme="minorEastAsia"/>
          <w:color w:val="auto"/>
          <w:highlight w:val="none"/>
        </w:rPr>
        <w:t>附件1</w:t>
      </w:r>
      <w:r>
        <w:rPr>
          <w:rFonts w:hint="eastAsia" w:asciiTheme="minorEastAsia" w:hAnsiTheme="minorEastAsia" w:eastAsiaTheme="minorEastAsia" w:cstheme="minorEastAsia"/>
          <w:color w:val="auto"/>
          <w:szCs w:val="21"/>
          <w:highlight w:val="none"/>
        </w:rPr>
        <w:t>《报价明细表》的计算公式如下：</w:t>
      </w:r>
    </w:p>
    <w:p>
      <w:pPr>
        <w:pStyle w:val="1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b/>
          <w:color w:val="auto"/>
          <w:sz w:val="21"/>
          <w:szCs w:val="21"/>
          <w:highlight w:val="none"/>
        </w:rPr>
        <w:t>税费</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
          <w:bCs/>
          <w:color w:val="auto"/>
          <w:sz w:val="21"/>
          <w:szCs w:val="21"/>
          <w:highlight w:val="none"/>
        </w:rPr>
        <w:t>（元/月）</w:t>
      </w:r>
      <w:r>
        <w:rPr>
          <w:rFonts w:hint="eastAsia" w:asciiTheme="minorEastAsia" w:hAnsiTheme="minorEastAsia" w:eastAsiaTheme="minorEastAsia" w:cstheme="minorEastAsia"/>
          <w:color w:val="auto"/>
          <w:sz w:val="21"/>
          <w:szCs w:val="21"/>
          <w:highlight w:val="none"/>
        </w:rPr>
        <w:t>” ：（1）税费项的系数（%）由供应商根据相关政策法规结合自身情况，自行在政策范围内取值，报价部分填报内容为具体金额，单位：元/月。</w:t>
      </w:r>
    </w:p>
    <w:p>
      <w:pPr>
        <w:pStyle w:val="1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b/>
          <w:bCs/>
          <w:color w:val="auto"/>
          <w:sz w:val="21"/>
          <w:szCs w:val="21"/>
          <w:highlight w:val="none"/>
        </w:rPr>
        <w:t>“岗位成本（元/月）”</w:t>
      </w:r>
      <w:r>
        <w:rPr>
          <w:rFonts w:hint="eastAsia" w:asciiTheme="minorEastAsia" w:hAnsiTheme="minorEastAsia" w:eastAsiaTheme="minorEastAsia" w:cstheme="minorEastAsia"/>
          <w:color w:val="auto"/>
          <w:sz w:val="21"/>
          <w:szCs w:val="21"/>
          <w:highlight w:val="none"/>
        </w:rPr>
        <w:t>人员工资待遇、社保、公积金、税费等数额应符合项目服务区域所在地现阶段执行的各项规定。</w:t>
      </w:r>
    </w:p>
    <w:p>
      <w:pPr>
        <w:adjustRightInd w:val="0"/>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szCs w:val="21"/>
          <w:highlight w:val="none"/>
        </w:rPr>
        <w:t>(3)“其他成本”：</w:t>
      </w:r>
      <w:r>
        <w:rPr>
          <w:rFonts w:hint="eastAsia" w:asciiTheme="minorEastAsia" w:hAnsiTheme="minorEastAsia" w:eastAsiaTheme="minorEastAsia" w:cstheme="minorEastAsia"/>
          <w:color w:val="auto"/>
          <w:szCs w:val="21"/>
          <w:highlight w:val="none"/>
        </w:rPr>
        <w:t>其他成本（元/月）合计=行政办公费用+公司管理费+行政办公费用；</w:t>
      </w:r>
    </w:p>
    <w:p>
      <w:pPr>
        <w:pStyle w:val="1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r>
        <w:rPr>
          <w:rFonts w:hint="eastAsia" w:asciiTheme="minorEastAsia" w:hAnsiTheme="minorEastAsia" w:eastAsiaTheme="minorEastAsia" w:cstheme="minorEastAsia"/>
          <w:b/>
          <w:bCs/>
          <w:color w:val="auto"/>
          <w:sz w:val="21"/>
          <w:szCs w:val="21"/>
          <w:highlight w:val="none"/>
        </w:rPr>
        <w:t>“管理酬金的系数</w:t>
      </w:r>
      <w:r>
        <w:rPr>
          <w:rFonts w:hint="eastAsia" w:asciiTheme="minorEastAsia" w:hAnsiTheme="minorEastAsia" w:eastAsiaTheme="minorEastAsia" w:cstheme="minorEastAsia"/>
          <w:b/>
          <w:bCs/>
          <w:color w:val="auto"/>
          <w:sz w:val="21"/>
          <w:szCs w:val="21"/>
          <w:highlight w:val="none"/>
          <w:u w:val="single"/>
        </w:rPr>
        <w:t xml:space="preserve"> </w:t>
      </w:r>
      <w:r>
        <w:rPr>
          <w:rFonts w:hint="eastAsia" w:asciiTheme="minorEastAsia" w:hAnsiTheme="minorEastAsia" w:eastAsiaTheme="minorEastAsia" w:cstheme="minorEastAsia"/>
          <w:b/>
          <w:bCs/>
          <w:color w:val="auto"/>
          <w:sz w:val="21"/>
          <w:szCs w:val="21"/>
          <w:highlight w:val="none"/>
        </w:rPr>
        <w:t>%</w:t>
      </w:r>
      <w:r>
        <w:rPr>
          <w:rFonts w:hint="eastAsia" w:asciiTheme="minorEastAsia" w:hAnsiTheme="minorEastAsia" w:eastAsiaTheme="minorEastAsia" w:cstheme="minorEastAsia"/>
          <w:color w:val="auto"/>
          <w:sz w:val="21"/>
          <w:szCs w:val="21"/>
          <w:highlight w:val="none"/>
        </w:rPr>
        <w:t>”：由供应商自行取值，报价部分填报内容为具体金额，单位：元/月。</w:t>
      </w:r>
    </w:p>
    <w:p>
      <w:pPr>
        <w:pStyle w:val="1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r>
        <w:rPr>
          <w:rFonts w:hint="eastAsia" w:asciiTheme="minorEastAsia" w:hAnsiTheme="minorEastAsia" w:eastAsiaTheme="minorEastAsia" w:cstheme="minorEastAsia"/>
          <w:b/>
          <w:bCs/>
          <w:color w:val="auto"/>
          <w:sz w:val="21"/>
          <w:szCs w:val="21"/>
          <w:highlight w:val="none"/>
        </w:rPr>
        <w:t>“每月管理成本费用合计 (元/月)”</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每月管理成本费用合计=各岗位成本合计 + 其他成本 + 税费</w:t>
      </w:r>
    </w:p>
    <w:p>
      <w:pPr>
        <w:pStyle w:val="1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r>
        <w:rPr>
          <w:rFonts w:hint="eastAsia" w:asciiTheme="minorEastAsia" w:hAnsiTheme="minorEastAsia" w:eastAsiaTheme="minorEastAsia" w:cstheme="minorEastAsia"/>
          <w:b/>
          <w:color w:val="auto"/>
          <w:sz w:val="21"/>
          <w:szCs w:val="21"/>
          <w:highlight w:val="none"/>
        </w:rPr>
        <w:t>基本费用年度合计 (元/年)</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
          <w:color w:val="auto"/>
          <w:sz w:val="21"/>
          <w:szCs w:val="21"/>
          <w:highlight w:val="none"/>
        </w:rPr>
        <w:t>：</w:t>
      </w:r>
      <w:r>
        <w:rPr>
          <w:rFonts w:hint="eastAsia" w:asciiTheme="minorEastAsia" w:hAnsiTheme="minorEastAsia" w:eastAsiaTheme="minorEastAsia" w:cstheme="minorEastAsia"/>
          <w:color w:val="auto"/>
          <w:sz w:val="21"/>
          <w:szCs w:val="21"/>
          <w:highlight w:val="none"/>
        </w:rPr>
        <w:t>基本费用年度费用合计 =（每月管理成本费用合计 + 管理酬金）× 12</w:t>
      </w:r>
    </w:p>
    <w:p>
      <w:pPr>
        <w:pStyle w:val="1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r>
        <w:rPr>
          <w:rFonts w:hint="eastAsia" w:asciiTheme="minorEastAsia" w:hAnsiTheme="minorEastAsia" w:eastAsiaTheme="minorEastAsia" w:cstheme="minorEastAsia"/>
          <w:b/>
          <w:color w:val="auto"/>
          <w:sz w:val="21"/>
          <w:szCs w:val="21"/>
          <w:highlight w:val="none"/>
        </w:rPr>
        <w:t>各项其他服务内容费用合计</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
          <w:color w:val="auto"/>
          <w:sz w:val="21"/>
          <w:szCs w:val="21"/>
          <w:highlight w:val="none"/>
        </w:rPr>
        <w:t>：①</w:t>
      </w:r>
      <w:r>
        <w:rPr>
          <w:rFonts w:hint="eastAsia" w:asciiTheme="minorEastAsia" w:hAnsiTheme="minorEastAsia" w:eastAsiaTheme="minorEastAsia" w:cstheme="minorEastAsia"/>
          <w:color w:val="auto"/>
          <w:sz w:val="21"/>
          <w:szCs w:val="21"/>
          <w:highlight w:val="none"/>
        </w:rPr>
        <w:t>非日常服务内容，无法转化为人员岗位成本的部分；②用户需求中提出要求，或供应商认为需要单独计费且不属于“其他成本”部分的服务。</w:t>
      </w:r>
    </w:p>
    <w:p>
      <w:pPr>
        <w:pStyle w:val="1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r>
        <w:rPr>
          <w:rFonts w:hint="eastAsia" w:asciiTheme="minorEastAsia" w:hAnsiTheme="minorEastAsia" w:eastAsiaTheme="minorEastAsia" w:cstheme="minorEastAsia"/>
          <w:b/>
          <w:bCs/>
          <w:color w:val="auto"/>
          <w:sz w:val="21"/>
          <w:szCs w:val="21"/>
          <w:highlight w:val="none"/>
        </w:rPr>
        <w:t>每年报价</w:t>
      </w:r>
      <w:r>
        <w:rPr>
          <w:rFonts w:hint="eastAsia" w:asciiTheme="minorEastAsia" w:hAnsiTheme="minorEastAsia" w:eastAsiaTheme="minorEastAsia" w:cstheme="minorEastAsia"/>
          <w:color w:val="auto"/>
          <w:sz w:val="21"/>
          <w:szCs w:val="21"/>
          <w:highlight w:val="none"/>
        </w:rPr>
        <w:t>”：每年报价 = 基本费用年度合计 + 各项其他服务内容费用合计</w:t>
      </w:r>
    </w:p>
    <w:p>
      <w:pPr>
        <w:pStyle w:val="10"/>
        <w:spacing w:line="360" w:lineRule="auto"/>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w:t>
      </w:r>
      <w:r>
        <w:rPr>
          <w:rFonts w:hint="eastAsia" w:asciiTheme="minorEastAsia" w:hAnsiTheme="minorEastAsia" w:eastAsiaTheme="minorEastAsia" w:cstheme="minorEastAsia"/>
          <w:b/>
          <w:bCs/>
          <w:color w:val="auto"/>
          <w:sz w:val="21"/>
          <w:szCs w:val="21"/>
          <w:highlight w:val="none"/>
        </w:rPr>
        <w:t>项目</w:t>
      </w:r>
      <w:r>
        <w:rPr>
          <w:rFonts w:hint="eastAsia" w:asciiTheme="minorEastAsia" w:hAnsiTheme="minorEastAsia" w:eastAsiaTheme="minorEastAsia" w:cstheme="minorEastAsia"/>
          <w:b/>
          <w:bCs/>
          <w:color w:val="auto"/>
          <w:sz w:val="21"/>
          <w:szCs w:val="21"/>
          <w:highlight w:val="none"/>
          <w:u w:val="single"/>
        </w:rPr>
        <w:t>2</w:t>
      </w:r>
      <w:r>
        <w:rPr>
          <w:rFonts w:hint="eastAsia" w:asciiTheme="minorEastAsia" w:hAnsiTheme="minorEastAsia" w:eastAsiaTheme="minorEastAsia" w:cstheme="minorEastAsia"/>
          <w:b/>
          <w:bCs/>
          <w:color w:val="auto"/>
          <w:sz w:val="21"/>
          <w:szCs w:val="21"/>
          <w:highlight w:val="none"/>
        </w:rPr>
        <w:t>年总报价</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
          <w:bCs/>
          <w:color w:val="auto"/>
          <w:sz w:val="21"/>
          <w:szCs w:val="21"/>
          <w:highlight w:val="none"/>
        </w:rPr>
        <w:t>：</w:t>
      </w:r>
      <w:r>
        <w:rPr>
          <w:rFonts w:hint="eastAsia" w:asciiTheme="minorEastAsia" w:hAnsiTheme="minorEastAsia" w:eastAsiaTheme="minorEastAsia" w:cstheme="minorEastAsia"/>
          <w:color w:val="auto"/>
          <w:sz w:val="21"/>
          <w:szCs w:val="21"/>
          <w:highlight w:val="none"/>
        </w:rPr>
        <w:t>总报价 = 每年报价 × 服务总年数</w:t>
      </w:r>
    </w:p>
    <w:p>
      <w:pPr>
        <w:spacing w:line="360" w:lineRule="auto"/>
        <w:ind w:firstLine="420" w:firstLineChars="200"/>
        <w:rPr>
          <w:rFonts w:asciiTheme="minorEastAsia" w:hAnsiTheme="minorEastAsia" w:eastAsiaTheme="minorEastAsia" w:cstheme="minorEastAsia"/>
          <w:color w:val="auto"/>
          <w:szCs w:val="21"/>
          <w:highlight w:val="none"/>
        </w:rPr>
      </w:pPr>
    </w:p>
    <w:sectPr>
      <w:head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single" w:color="auto" w:sz="4" w:space="1"/>
      </w:pBdr>
      <w:tabs>
        <w:tab w:val="clear" w:pos="8306"/>
      </w:tabs>
      <w:ind w:right="22"/>
      <w:rPr>
        <w:sz w:val="21"/>
        <w:szCs w:val="21"/>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7218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972185" cy="147955"/>
                      </a:xfrm>
                      <a:prstGeom prst="rect">
                        <a:avLst/>
                      </a:prstGeom>
                      <a:noFill/>
                      <a:ln w="15875">
                        <a:noFill/>
                      </a:ln>
                    </wps:spPr>
                    <wps:txbx>
                      <w:txbxContent>
                        <w:p>
                          <w:pPr>
                            <w:pStyle w:val="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50</w:t>
                          </w:r>
                          <w:r>
                            <w:fldChar w:fldCharType="end"/>
                          </w:r>
                          <w:r>
                            <w:rPr>
                              <w:rFonts w:hint="eastAsia"/>
                            </w:rPr>
                            <w:t xml:space="preserve"> 页</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1.65pt;width:76.55pt;mso-position-horizontal:center;mso-position-horizontal-relative:margin;mso-wrap-style:none;z-index:251659264;mso-width-relative:page;mso-height-relative:page;" filled="f" stroked="f" coordsize="21600,21600" o:gfxdata="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ndWRJ1QAAAAQBAAAPAAAAAAAAAAEAIAAA&#10;ACIAAABkcnMvZG93bnJldi54bWxQSwECFAAUAAAACACHTuJA3NO75NYBAAChAwAADgAAAAAAAAAB&#10;ACAAAAAkAQAAZHJzL2Uyb0RvYy54bWxQSwUGAAAAAAYABgBZAQAAbAUAAAAA&#10;">
              <v:fill on="f" focussize="0,0"/>
              <v:stroke on="f" weight="1.25pt"/>
              <v:imagedata o:title=""/>
              <o:lock v:ext="edit" aspectratio="f"/>
              <v:textbox inset="0mm,0mm,0mm,0mm" style="mso-fit-shape-to-text:t;">
                <w:txbxContent>
                  <w:p>
                    <w:pPr>
                      <w:pStyle w:val="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50</w:t>
                    </w:r>
                    <w:r>
                      <w:fldChar w:fldCharType="end"/>
                    </w:r>
                    <w:r>
                      <w:rPr>
                        <w:rFonts w:hint="eastAsia"/>
                      </w:rPr>
                      <w:t xml:space="preserve"> 页</w:t>
                    </w:r>
                  </w:p>
                </w:txbxContent>
              </v:textbox>
            </v:shape>
          </w:pict>
        </mc:Fallback>
      </mc:AlternateContent>
    </w:r>
    <w:r>
      <w:rPr>
        <w:rFonts w:hint="eastAsia" w:ascii="宋体" w:hAnsi="宋体" w:cs="Tahoma"/>
        <w:color w:val="000000"/>
      </w:rPr>
      <w:t>www.gd-zc.net</w:t>
    </w:r>
    <w:r>
      <w:rPr>
        <w:rFonts w:hint="eastAsia"/>
        <w:sz w:val="21"/>
        <w:szCs w:val="21"/>
      </w:rPr>
      <w:t xml:space="preserve">                                           </w:t>
    </w:r>
    <w:r>
      <w:rPr>
        <w:rFonts w:hint="eastAsia" w:ascii="宋体" w:hAnsi="宋体" w:cs="Tahoma"/>
        <w:color w:val="000000"/>
        <w:kern w:val="28"/>
      </w:rPr>
      <w:t>广东正采招标采购有限公司编制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Cs w:val="21"/>
      </w:rPr>
    </w:pPr>
    <w:r>
      <w:rPr>
        <w:rFonts w:hint="eastAsia"/>
        <w:u w:val="single"/>
      </w:rPr>
      <w:t>《广州市文化馆2024-2026年辅助岗服务采购项目采购需求咨询报告》       【第四章 参照</w:t>
    </w:r>
    <w:r>
      <w:rPr>
        <w:rFonts w:hint="eastAsia" w:asciiTheme="minorEastAsia" w:hAnsiTheme="minorEastAsia" w:eastAsiaTheme="minorEastAsia" w:cstheme="minorEastAsia"/>
        <w:u w:val="single"/>
      </w:rPr>
      <w:t>《政府采购物业管理服务项目需求编制指南》的审查</w:t>
    </w:r>
    <w:r>
      <w:rPr>
        <w:rFonts w:hint="eastAsia"/>
        <w:u w:val="single"/>
      </w:rPr>
      <w:t>》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59C21C"/>
    <w:multiLevelType w:val="singleLevel"/>
    <w:tmpl w:val="DD59C21C"/>
    <w:lvl w:ilvl="0" w:tentative="0">
      <w:start w:val="1"/>
      <w:numFmt w:val="decimal"/>
      <w:lvlText w:val="%1."/>
      <w:lvlJc w:val="left"/>
      <w:pPr>
        <w:tabs>
          <w:tab w:val="left" w:pos="312"/>
        </w:tabs>
      </w:pPr>
    </w:lvl>
  </w:abstractNum>
  <w:abstractNum w:abstractNumId="1">
    <w:nsid w:val="7F4FD934"/>
    <w:multiLevelType w:val="singleLevel"/>
    <w:tmpl w:val="7F4FD934"/>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NjOTAxOGVhNWMxZWI1MGU2MjdiMDQxZmJiMmJmYWQifQ=="/>
  </w:docVars>
  <w:rsids>
    <w:rsidRoot w:val="00391F1C"/>
    <w:rsid w:val="00391F1C"/>
    <w:rsid w:val="00492713"/>
    <w:rsid w:val="00792961"/>
    <w:rsid w:val="00A8768C"/>
    <w:rsid w:val="00BE32CC"/>
    <w:rsid w:val="00E529C8"/>
    <w:rsid w:val="00EE5B35"/>
    <w:rsid w:val="02AA09D8"/>
    <w:rsid w:val="07926816"/>
    <w:rsid w:val="084836F6"/>
    <w:rsid w:val="085553FE"/>
    <w:rsid w:val="08FC0CCA"/>
    <w:rsid w:val="0B6868C9"/>
    <w:rsid w:val="0E8F0914"/>
    <w:rsid w:val="0ECA58F5"/>
    <w:rsid w:val="10E37EA6"/>
    <w:rsid w:val="11781BFF"/>
    <w:rsid w:val="15472268"/>
    <w:rsid w:val="16C32FBA"/>
    <w:rsid w:val="176A51F7"/>
    <w:rsid w:val="18F21684"/>
    <w:rsid w:val="191B29BF"/>
    <w:rsid w:val="19224548"/>
    <w:rsid w:val="1AF14A12"/>
    <w:rsid w:val="1B2944FE"/>
    <w:rsid w:val="1D6E3ED5"/>
    <w:rsid w:val="2237485C"/>
    <w:rsid w:val="26C317D6"/>
    <w:rsid w:val="27B97A3A"/>
    <w:rsid w:val="29AE15B3"/>
    <w:rsid w:val="2B575927"/>
    <w:rsid w:val="2BF1460A"/>
    <w:rsid w:val="2E345134"/>
    <w:rsid w:val="2EAD77C7"/>
    <w:rsid w:val="2F850759"/>
    <w:rsid w:val="354D30E3"/>
    <w:rsid w:val="35606021"/>
    <w:rsid w:val="387C1592"/>
    <w:rsid w:val="38941AE2"/>
    <w:rsid w:val="38951F4E"/>
    <w:rsid w:val="3A311869"/>
    <w:rsid w:val="3C600B0E"/>
    <w:rsid w:val="3D534B16"/>
    <w:rsid w:val="3E727B1B"/>
    <w:rsid w:val="3E7C4E31"/>
    <w:rsid w:val="3EB51B37"/>
    <w:rsid w:val="3F547496"/>
    <w:rsid w:val="438A6CF6"/>
    <w:rsid w:val="43F87208"/>
    <w:rsid w:val="47E5000D"/>
    <w:rsid w:val="4CB537D5"/>
    <w:rsid w:val="4D4F4B4A"/>
    <w:rsid w:val="4DFB1A7F"/>
    <w:rsid w:val="4FBB0EBB"/>
    <w:rsid w:val="526F32E3"/>
    <w:rsid w:val="53E2792A"/>
    <w:rsid w:val="558A57DD"/>
    <w:rsid w:val="57830AB6"/>
    <w:rsid w:val="583C4105"/>
    <w:rsid w:val="58F27671"/>
    <w:rsid w:val="5DEC132D"/>
    <w:rsid w:val="5ECB4491"/>
    <w:rsid w:val="63462A0A"/>
    <w:rsid w:val="64C43E15"/>
    <w:rsid w:val="659515CE"/>
    <w:rsid w:val="66344D3E"/>
    <w:rsid w:val="664B1541"/>
    <w:rsid w:val="69A555DF"/>
    <w:rsid w:val="69F20F0B"/>
    <w:rsid w:val="6A395DB8"/>
    <w:rsid w:val="6B45503C"/>
    <w:rsid w:val="6C7D384B"/>
    <w:rsid w:val="6E016208"/>
    <w:rsid w:val="7254097A"/>
    <w:rsid w:val="744178EA"/>
    <w:rsid w:val="75640A5A"/>
    <w:rsid w:val="76286AE8"/>
    <w:rsid w:val="77FB6984"/>
    <w:rsid w:val="79C03B83"/>
    <w:rsid w:val="7A6053EE"/>
    <w:rsid w:val="7B6C5B54"/>
    <w:rsid w:val="7C5C11A0"/>
    <w:rsid w:val="7E451036"/>
    <w:rsid w:val="7E932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Calibri" w:eastAsia="宋体" w:cs="Times New Roman"/>
      <w:sz w:val="21"/>
      <w:lang w:val="en-US" w:eastAsia="zh-CN" w:bidi="ar-SA"/>
    </w:rPr>
  </w:style>
  <w:style w:type="paragraph" w:styleId="3">
    <w:name w:val="heading 1"/>
    <w:basedOn w:val="1"/>
    <w:next w:val="1"/>
    <w:qFormat/>
    <w:uiPriority w:val="0"/>
    <w:pPr>
      <w:keepNext/>
      <w:keepLines/>
      <w:spacing w:before="340" w:after="330" w:line="578" w:lineRule="auto"/>
      <w:outlineLvl w:val="0"/>
    </w:pPr>
    <w:rPr>
      <w:rFonts w:ascii="Times New Roman" w:hAnsi="Times New Roman"/>
      <w:b/>
      <w:bCs/>
      <w:kern w:val="44"/>
      <w:sz w:val="44"/>
      <w:szCs w:val="44"/>
    </w:rPr>
  </w:style>
  <w:style w:type="paragraph" w:styleId="4">
    <w:name w:val="heading 2"/>
    <w:basedOn w:val="1"/>
    <w:next w:val="1"/>
    <w:qFormat/>
    <w:uiPriority w:val="0"/>
    <w:pPr>
      <w:keepLines/>
      <w:widowControl w:val="0"/>
      <w:tabs>
        <w:tab w:val="left" w:pos="425"/>
      </w:tabs>
      <w:snapToGrid w:val="0"/>
      <w:spacing w:beforeLines="150" w:afterLines="50" w:line="416" w:lineRule="auto"/>
      <w:jc w:val="center"/>
      <w:outlineLvl w:val="1"/>
    </w:pPr>
    <w:rPr>
      <w:rFonts w:ascii="宋体" w:hAnsi="宋体"/>
      <w:b/>
      <w:bCs/>
      <w:kern w:val="28"/>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widowControl w:val="0"/>
      <w:jc w:val="both"/>
    </w:pPr>
    <w:rPr>
      <w:rFonts w:ascii="Times New Roman" w:hAnsi="Times New Roman"/>
      <w:kern w:val="2"/>
    </w:rPr>
  </w:style>
  <w:style w:type="paragraph" w:styleId="5">
    <w:name w:val="annotation text"/>
    <w:basedOn w:val="1"/>
    <w:qFormat/>
    <w:uiPriority w:val="99"/>
    <w:pPr>
      <w:widowControl w:val="0"/>
    </w:pPr>
    <w:rPr>
      <w:rFonts w:ascii="Times New Roman" w:hAnsi="Times New Roman"/>
      <w:kern w:val="2"/>
      <w:szCs w:val="24"/>
    </w:rPr>
  </w:style>
  <w:style w:type="paragraph" w:styleId="6">
    <w:name w:val="Body Text Indent"/>
    <w:basedOn w:val="1"/>
    <w:next w:val="7"/>
    <w:qFormat/>
    <w:uiPriority w:val="0"/>
    <w:pPr>
      <w:spacing w:after="120"/>
      <w:ind w:left="420" w:leftChars="200"/>
    </w:pPr>
    <w:rPr>
      <w:rFonts w:ascii="Times New Roman" w:hAnsi="Times New Roman"/>
    </w:rPr>
  </w:style>
  <w:style w:type="paragraph" w:styleId="7">
    <w:name w:val="Subtitle"/>
    <w:basedOn w:val="1"/>
    <w:qFormat/>
    <w:uiPriority w:val="0"/>
    <w:pPr>
      <w:widowControl w:val="0"/>
      <w:spacing w:before="240" w:after="60" w:line="312" w:lineRule="auto"/>
      <w:jc w:val="center"/>
      <w:outlineLvl w:val="1"/>
    </w:pPr>
    <w:rPr>
      <w:rFonts w:ascii="Arial" w:hAnsi="Arial" w:cs="Arial"/>
      <w:b/>
      <w:bCs/>
      <w:kern w:val="28"/>
      <w:sz w:val="32"/>
      <w:szCs w:val="32"/>
    </w:rPr>
  </w:style>
  <w:style w:type="paragraph" w:styleId="8">
    <w:name w:val="footer"/>
    <w:basedOn w:val="1"/>
    <w:qFormat/>
    <w:uiPriority w:val="99"/>
    <w:pPr>
      <w:tabs>
        <w:tab w:val="center" w:pos="4153"/>
        <w:tab w:val="right" w:pos="8306"/>
      </w:tabs>
      <w:snapToGrid w:val="0"/>
    </w:pPr>
    <w:rPr>
      <w:rFonts w:ascii="Times New Roman" w:hAnsi="Times New Roman"/>
      <w:sz w:val="18"/>
      <w:szCs w:val="18"/>
    </w:rPr>
  </w:style>
  <w:style w:type="paragraph" w:styleId="9">
    <w:name w:val="header"/>
    <w:basedOn w:val="1"/>
    <w:link w:val="29"/>
    <w:qFormat/>
    <w:uiPriority w:val="0"/>
    <w:pPr>
      <w:tabs>
        <w:tab w:val="center" w:pos="4153"/>
        <w:tab w:val="right" w:pos="8306"/>
      </w:tabs>
      <w:snapToGrid w:val="0"/>
      <w:jc w:val="center"/>
    </w:pPr>
    <w:rPr>
      <w:sz w:val="18"/>
      <w:szCs w:val="18"/>
    </w:rPr>
  </w:style>
  <w:style w:type="paragraph" w:styleId="10">
    <w:name w:val="footnote text"/>
    <w:basedOn w:val="1"/>
    <w:unhideWhenUsed/>
    <w:qFormat/>
    <w:uiPriority w:val="99"/>
    <w:pPr>
      <w:snapToGrid w:val="0"/>
    </w:pPr>
    <w:rPr>
      <w:sz w:val="18"/>
      <w:szCs w:val="18"/>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qFormat/>
    <w:uiPriority w:val="0"/>
    <w:rPr>
      <w:sz w:val="21"/>
      <w:szCs w:val="21"/>
    </w:rPr>
  </w:style>
  <w:style w:type="paragraph" w:customStyle="1" w:styleId="16">
    <w:name w:val="Normal_36a10167-40d5-4809-825c-d2009a5bfa63"/>
    <w:next w:val="4"/>
    <w:qFormat/>
    <w:uiPriority w:val="0"/>
    <w:rPr>
      <w:rFonts w:ascii="Times New Roman" w:hAnsi="Times New Roman" w:eastAsia="宋体" w:cs="Times New Roman"/>
      <w:sz w:val="21"/>
      <w:lang w:val="en-US" w:eastAsia="zh-CN" w:bidi="ar-SA"/>
    </w:rPr>
  </w:style>
  <w:style w:type="paragraph" w:customStyle="1" w:styleId="17">
    <w:name w:val="正文_0_3daf9ccf-1349-4677-9cfa-1aed6a6e0c68"/>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
    <w:name w:val="Normal_29a16734-2a74-4a0a-abb4-ba2824fae85b"/>
    <w:qFormat/>
    <w:uiPriority w:val="0"/>
    <w:rPr>
      <w:rFonts w:ascii="Times New Roman" w:hAnsi="Times New Roman" w:eastAsia="宋体" w:cs="Times New Roman"/>
      <w:sz w:val="21"/>
      <w:lang w:val="en-US" w:eastAsia="zh-CN" w:bidi="ar-SA"/>
    </w:rPr>
  </w:style>
  <w:style w:type="paragraph" w:customStyle="1" w:styleId="19">
    <w:name w:val="List Paragraph1_87898f50-31e4-47c4-8fd9-cf2ef53a08cc"/>
    <w:basedOn w:val="1"/>
    <w:qFormat/>
    <w:uiPriority w:val="0"/>
    <w:pPr>
      <w:ind w:firstLine="420" w:firstLineChars="200"/>
    </w:pPr>
    <w:rPr>
      <w:rFonts w:ascii="宋体" w:hAnsi="宋体"/>
      <w:sz w:val="24"/>
    </w:rPr>
  </w:style>
  <w:style w:type="paragraph" w:customStyle="1" w:styleId="20">
    <w:name w:val="Body Text First Indent 2_88534d13-5eba-44de-8da1-a57a7aaa103d"/>
    <w:basedOn w:val="6"/>
    <w:qFormat/>
    <w:uiPriority w:val="0"/>
    <w:pPr>
      <w:widowControl w:val="0"/>
      <w:ind w:left="200" w:leftChars="0" w:firstLine="200"/>
      <w:jc w:val="both"/>
    </w:pPr>
    <w:rPr>
      <w:rFonts w:ascii="宋体" w:hAnsi="宋体"/>
      <w:kern w:val="2"/>
    </w:rPr>
  </w:style>
  <w:style w:type="paragraph" w:customStyle="1" w:styleId="21">
    <w:name w:val="Normal_e9b3e291-7fdc-4157-a605-5dff73bc1382"/>
    <w:next w:val="3"/>
    <w:qFormat/>
    <w:uiPriority w:val="0"/>
    <w:rPr>
      <w:rFonts w:ascii="Times New Roman" w:hAnsi="Times New Roman" w:eastAsia="宋体" w:cs="Times New Roman"/>
      <w:sz w:val="21"/>
      <w:lang w:val="en-US" w:eastAsia="zh-CN" w:bidi="ar-SA"/>
    </w:rPr>
  </w:style>
  <w:style w:type="paragraph" w:customStyle="1" w:styleId="22">
    <w:name w:val="Normal_07b0063d-2446-4024-86e1-af63886701cd"/>
    <w:qFormat/>
    <w:uiPriority w:val="0"/>
    <w:rPr>
      <w:rFonts w:ascii="宋体" w:hAnsi="宋体" w:eastAsia="宋体" w:cs="宋体"/>
      <w:sz w:val="24"/>
      <w:szCs w:val="24"/>
      <w:lang w:val="en-US" w:eastAsia="zh-CN" w:bidi="ar-SA"/>
    </w:rPr>
  </w:style>
  <w:style w:type="paragraph" w:customStyle="1" w:styleId="23">
    <w:name w:val="_Style 3"/>
    <w:basedOn w:val="1"/>
    <w:qFormat/>
    <w:uiPriority w:val="0"/>
    <w:pPr>
      <w:ind w:firstLine="420" w:firstLineChars="200"/>
    </w:pPr>
    <w:rPr>
      <w:sz w:val="20"/>
    </w:rPr>
  </w:style>
  <w:style w:type="paragraph" w:customStyle="1" w:styleId="24">
    <w:name w:val="表格文字"/>
    <w:basedOn w:val="1"/>
    <w:qFormat/>
    <w:uiPriority w:val="0"/>
    <w:pPr>
      <w:widowControl w:val="0"/>
      <w:spacing w:line="300" w:lineRule="auto"/>
      <w:jc w:val="both"/>
    </w:pPr>
    <w:rPr>
      <w:rFonts w:ascii="宋体" w:hAnsi="宋体"/>
      <w:spacing w:val="10"/>
      <w:sz w:val="24"/>
    </w:rPr>
  </w:style>
  <w:style w:type="character" w:customStyle="1" w:styleId="25">
    <w:name w:val="font61"/>
    <w:basedOn w:val="13"/>
    <w:qFormat/>
    <w:uiPriority w:val="0"/>
    <w:rPr>
      <w:rFonts w:hint="eastAsia" w:ascii="宋体" w:hAnsi="宋体" w:eastAsia="宋体" w:cs="宋体"/>
      <w:color w:val="000000"/>
      <w:sz w:val="21"/>
      <w:szCs w:val="21"/>
      <w:u w:val="single"/>
    </w:rPr>
  </w:style>
  <w:style w:type="character" w:customStyle="1" w:styleId="26">
    <w:name w:val="font31"/>
    <w:basedOn w:val="13"/>
    <w:qFormat/>
    <w:uiPriority w:val="0"/>
    <w:rPr>
      <w:rFonts w:hint="eastAsia" w:ascii="宋体" w:hAnsi="宋体" w:eastAsia="宋体" w:cs="宋体"/>
      <w:color w:val="000000"/>
      <w:sz w:val="22"/>
      <w:szCs w:val="22"/>
    </w:rPr>
  </w:style>
  <w:style w:type="paragraph" w:customStyle="1" w:styleId="27">
    <w:name w:val="Table Text"/>
    <w:basedOn w:val="1"/>
    <w:semiHidden/>
    <w:qFormat/>
    <w:uiPriority w:val="0"/>
    <w:rPr>
      <w:rFonts w:ascii="宋体" w:hAnsi="宋体" w:cs="宋体"/>
      <w:sz w:val="19"/>
      <w:szCs w:val="19"/>
      <w:lang w:eastAsia="en-US"/>
    </w:rPr>
  </w:style>
  <w:style w:type="table" w:customStyle="1" w:styleId="28">
    <w:name w:val="Table Normal"/>
    <w:semiHidden/>
    <w:unhideWhenUsed/>
    <w:qFormat/>
    <w:uiPriority w:val="0"/>
    <w:tblPr>
      <w:tblCellMar>
        <w:top w:w="0" w:type="dxa"/>
        <w:left w:w="0" w:type="dxa"/>
        <w:bottom w:w="0" w:type="dxa"/>
        <w:right w:w="0" w:type="dxa"/>
      </w:tblCellMar>
    </w:tblPr>
  </w:style>
  <w:style w:type="character" w:customStyle="1" w:styleId="29">
    <w:name w:val="页眉 字符"/>
    <w:basedOn w:val="13"/>
    <w:link w:val="9"/>
    <w:qFormat/>
    <w:uiPriority w:val="0"/>
    <w:rPr>
      <w:rFonts w:ascii="Calibri" w:hAnsi="Calibri"/>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2100</Words>
  <Characters>11976</Characters>
  <Lines>99</Lines>
  <Paragraphs>28</Paragraphs>
  <TotalTime>5</TotalTime>
  <ScaleCrop>false</ScaleCrop>
  <LinksUpToDate>false</LinksUpToDate>
  <CharactersWithSpaces>14048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2023-12-04T02:00:00Z</dcterms:created>
  <dc:creator>Administrator</dc:creator>
  <cp:lastModifiedBy>广东正采</cp:lastModifiedBy>
  <dcterms:modified xsi:type="dcterms:W3CDTF">2023-12-08T08:37:56Z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10906EAFE6FD4C12BA2D68E4FB1075F4_12</vt:lpwstr>
  </property>
</Properties>
</file>